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9016" w14:textId="731E6D4A" w:rsidR="007D75CF" w:rsidRPr="008302A0" w:rsidRDefault="00EB1EF4" w:rsidP="008302A0">
      <w:pPr>
        <w:pStyle w:val="datumtevilka"/>
        <w:spacing w:line="276" w:lineRule="auto"/>
        <w:jc w:val="both"/>
      </w:pPr>
      <w:r w:rsidRPr="008302A0">
        <w:t xml:space="preserve">Datum: </w:t>
      </w:r>
      <w:r w:rsidRPr="008302A0">
        <w:tab/>
      </w:r>
      <w:r w:rsidR="00F567A0">
        <w:rPr>
          <w:color w:val="FF0000"/>
        </w:rPr>
        <w:t>1. 12. 2023</w:t>
      </w:r>
    </w:p>
    <w:p w14:paraId="60CA8A23" w14:textId="77777777" w:rsidR="007D75CF" w:rsidRPr="008302A0" w:rsidRDefault="007D75CF" w:rsidP="008302A0">
      <w:pPr>
        <w:spacing w:line="276" w:lineRule="auto"/>
        <w:jc w:val="both"/>
        <w:rPr>
          <w:lang w:val="sl-SI"/>
        </w:rPr>
      </w:pPr>
    </w:p>
    <w:p w14:paraId="78541E5D" w14:textId="3A2CF682" w:rsidR="00161B24" w:rsidRDefault="00EB1EF4" w:rsidP="00161B24">
      <w:pPr>
        <w:pStyle w:val="ZADEVA"/>
        <w:spacing w:line="276" w:lineRule="auto"/>
        <w:jc w:val="both"/>
        <w:rPr>
          <w:lang w:val="sl-SI"/>
        </w:rPr>
      </w:pPr>
      <w:r w:rsidRPr="008302A0">
        <w:rPr>
          <w:lang w:val="sl-SI"/>
        </w:rPr>
        <w:t xml:space="preserve">Zadeva: </w:t>
      </w:r>
      <w:r w:rsidRPr="008302A0">
        <w:rPr>
          <w:lang w:val="sl-SI"/>
        </w:rPr>
        <w:tab/>
      </w:r>
      <w:r w:rsidR="00F567A0" w:rsidRPr="00F567A0">
        <w:rPr>
          <w:lang w:val="sl-SI"/>
        </w:rPr>
        <w:t>Poročanje o izplačilih dohodkov, ki se ne vštevajo oziroma se ne vštevajo v davčno osnovo do določene višine</w:t>
      </w:r>
    </w:p>
    <w:p w14:paraId="69F9AD98" w14:textId="2A858E4A" w:rsidR="00F567A0" w:rsidRDefault="00F567A0" w:rsidP="00161B24">
      <w:pPr>
        <w:pStyle w:val="ZADEVA"/>
        <w:spacing w:line="276" w:lineRule="auto"/>
        <w:jc w:val="both"/>
        <w:rPr>
          <w:lang w:val="sl-SI"/>
        </w:rPr>
      </w:pPr>
    </w:p>
    <w:p w14:paraId="60B08034" w14:textId="7153A867" w:rsidR="00F567A0" w:rsidRDefault="00F567A0" w:rsidP="00161B24">
      <w:pPr>
        <w:pStyle w:val="ZADEVA"/>
        <w:spacing w:line="276" w:lineRule="auto"/>
        <w:jc w:val="both"/>
        <w:rPr>
          <w:lang w:val="sl-SI"/>
        </w:rPr>
      </w:pPr>
    </w:p>
    <w:p w14:paraId="444B8AAD" w14:textId="77777777" w:rsidR="009E4C9F" w:rsidRPr="009E4C9F" w:rsidRDefault="009E4C9F" w:rsidP="009E4C9F">
      <w:pPr>
        <w:rPr>
          <w:rFonts w:cs="Arial"/>
          <w:szCs w:val="20"/>
          <w:lang w:val="sl-SI"/>
        </w:rPr>
      </w:pPr>
      <w:r w:rsidRPr="009E4C9F">
        <w:rPr>
          <w:rFonts w:cs="Arial"/>
          <w:szCs w:val="20"/>
          <w:lang w:val="sl-SI"/>
        </w:rPr>
        <w:t xml:space="preserve">Za potrebe poročanje o izplačilih dohodkov, ki se ne vštevajo oziroma se ne vštevajo v davčno osnovo do določene višine je bila v </w:t>
      </w:r>
      <w:hyperlink r:id="rId8" w:history="1">
        <w:r w:rsidRPr="009E4C9F">
          <w:rPr>
            <w:rStyle w:val="Hiperpovezava"/>
            <w:rFonts w:cs="Arial"/>
            <w:szCs w:val="20"/>
            <w:lang w:val="sl-SI"/>
          </w:rPr>
          <w:t>Uradnem listu, št. 60/2022</w:t>
        </w:r>
      </w:hyperlink>
      <w:r w:rsidRPr="009E4C9F">
        <w:rPr>
          <w:rFonts w:cs="Arial"/>
          <w:szCs w:val="20"/>
          <w:lang w:val="sl-SI"/>
        </w:rPr>
        <w:t xml:space="preserve"> objavljena dopolnitev </w:t>
      </w:r>
      <w:r w:rsidRPr="009E4C9F">
        <w:rPr>
          <w:rFonts w:cs="Arial"/>
          <w:color w:val="000000"/>
          <w:szCs w:val="20"/>
          <w:shd w:val="clear" w:color="auto" w:fill="FFFFFF"/>
          <w:lang w:val="sl-SI"/>
        </w:rPr>
        <w:t>Pravilnika o dostavi podatkov za odmero dohodnine</w:t>
      </w:r>
      <w:r w:rsidRPr="009E4C9F">
        <w:rPr>
          <w:rFonts w:cs="Arial"/>
          <w:szCs w:val="20"/>
          <w:lang w:val="sl-SI"/>
        </w:rPr>
        <w:t xml:space="preserve">. Izplačevalci bodo morali za leto 2023 (prvič v letu 2024) poročati o izplačilih prej navedenih dohodkov v datoteki </w:t>
      </w:r>
      <w:r w:rsidRPr="009E4C9F">
        <w:rPr>
          <w:rFonts w:cs="Arial"/>
          <w:b/>
          <w:bCs/>
          <w:szCs w:val="20"/>
          <w:lang w:val="sl-SI"/>
        </w:rPr>
        <w:t>VIRDOH.DAT</w:t>
      </w:r>
      <w:r w:rsidRPr="009E4C9F">
        <w:rPr>
          <w:rFonts w:cs="Arial"/>
          <w:szCs w:val="20"/>
          <w:lang w:val="sl-SI"/>
        </w:rPr>
        <w:t xml:space="preserve"> – Podatki o dohodkih, ki se ne vštevajo oziroma se ne vštevajo v davčno osnovo do določene višine. </w:t>
      </w:r>
    </w:p>
    <w:p w14:paraId="2113EF6F" w14:textId="77777777" w:rsidR="009E4C9F" w:rsidRPr="009E4C9F" w:rsidRDefault="009E4C9F" w:rsidP="009E4C9F">
      <w:pPr>
        <w:rPr>
          <w:rFonts w:cs="Arial"/>
          <w:szCs w:val="20"/>
          <w:lang w:val="sl-SI"/>
        </w:rPr>
      </w:pPr>
    </w:p>
    <w:p w14:paraId="14D52DF9" w14:textId="77777777" w:rsidR="009E4C9F" w:rsidRPr="009E4C9F" w:rsidRDefault="009E4C9F" w:rsidP="009E4C9F">
      <w:pPr>
        <w:rPr>
          <w:rFonts w:cs="Arial"/>
          <w:szCs w:val="20"/>
          <w:lang w:val="sl-SI"/>
        </w:rPr>
      </w:pPr>
      <w:r w:rsidRPr="009E4C9F">
        <w:rPr>
          <w:rFonts w:cs="Arial"/>
          <w:szCs w:val="20"/>
          <w:lang w:val="sl-SI"/>
        </w:rPr>
        <w:t>Rok za oddajo datoteke VIRDOH.DAT je 31. januar tekočega leta za preteklo koledarsko leto (prvič do 31. 1. 2024 za dohodke izplačane v letu 2023). Poroča se izplačilo dohodkov navedenih v spodnji tabeli (v stolpcu 3 so navedene zakonske podlage, ki določajo, da se dohodek všteva oziroma se ne všteva v davčno osnovo do določene višine):</w:t>
      </w:r>
    </w:p>
    <w:p w14:paraId="51516938" w14:textId="77777777" w:rsidR="009E4C9F" w:rsidRPr="009E4C9F" w:rsidRDefault="009E4C9F" w:rsidP="009E4C9F">
      <w:pPr>
        <w:rPr>
          <w:rFonts w:cs="Arial"/>
          <w:szCs w:val="20"/>
          <w:lang w:val="sl-SI"/>
        </w:rPr>
      </w:pPr>
    </w:p>
    <w:p w14:paraId="3B3E794A" w14:textId="77777777" w:rsidR="009E4C9F" w:rsidRPr="009E4C9F" w:rsidRDefault="009E4C9F" w:rsidP="009E4C9F">
      <w:pPr>
        <w:pStyle w:val="Odstavekseznama"/>
        <w:widowControl w:val="0"/>
        <w:tabs>
          <w:tab w:val="left" w:pos="976"/>
          <w:tab w:val="left" w:pos="977"/>
        </w:tabs>
        <w:spacing w:line="276" w:lineRule="auto"/>
        <w:ind w:left="0"/>
        <w:rPr>
          <w:b/>
          <w:szCs w:val="20"/>
          <w:lang w:val="it-IT"/>
        </w:rPr>
      </w:pPr>
      <w:bookmarkStart w:id="0" w:name="_Hlk100731296"/>
      <w:r w:rsidRPr="009E4C9F">
        <w:rPr>
          <w:b/>
          <w:szCs w:val="20"/>
          <w:lang w:val="it-IT"/>
        </w:rPr>
        <w:t>Tabela</w:t>
      </w:r>
      <w:r w:rsidRPr="009E4C9F">
        <w:rPr>
          <w:b/>
          <w:spacing w:val="-9"/>
          <w:szCs w:val="20"/>
          <w:lang w:val="it-IT"/>
        </w:rPr>
        <w:t xml:space="preserve"> </w:t>
      </w:r>
      <w:r w:rsidRPr="009E4C9F">
        <w:rPr>
          <w:b/>
          <w:szCs w:val="20"/>
          <w:lang w:val="it-IT"/>
        </w:rPr>
        <w:t>vrst</w:t>
      </w:r>
      <w:r w:rsidRPr="009E4C9F">
        <w:rPr>
          <w:b/>
          <w:spacing w:val="-8"/>
          <w:szCs w:val="20"/>
          <w:lang w:val="it-IT"/>
        </w:rPr>
        <w:t xml:space="preserve"> </w:t>
      </w:r>
      <w:r w:rsidRPr="009E4C9F">
        <w:rPr>
          <w:b/>
          <w:szCs w:val="20"/>
          <w:lang w:val="it-IT"/>
        </w:rPr>
        <w:t>dohodkov,</w:t>
      </w:r>
      <w:r w:rsidRPr="009E4C9F">
        <w:rPr>
          <w:b/>
          <w:spacing w:val="-8"/>
          <w:szCs w:val="20"/>
          <w:lang w:val="it-IT"/>
        </w:rPr>
        <w:t xml:space="preserve"> </w:t>
      </w:r>
      <w:r w:rsidRPr="009E4C9F">
        <w:rPr>
          <w:b/>
          <w:szCs w:val="20"/>
          <w:lang w:val="it-IT"/>
        </w:rPr>
        <w:t>ki se ne vštevajo oziroma se ne vštevajo do določene višine v davčno osnovo</w:t>
      </w:r>
    </w:p>
    <w:tbl>
      <w:tblPr>
        <w:tblW w:w="9356" w:type="dxa"/>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34"/>
        <w:gridCol w:w="5954"/>
        <w:gridCol w:w="2268"/>
      </w:tblGrid>
      <w:tr w:rsidR="009E4C9F" w:rsidRPr="00A5489D" w14:paraId="20E35EED" w14:textId="77777777" w:rsidTr="00914CD1">
        <w:trPr>
          <w:trHeight w:val="437"/>
        </w:trPr>
        <w:tc>
          <w:tcPr>
            <w:tcW w:w="1134" w:type="dxa"/>
            <w:tcBorders>
              <w:bottom w:val="double" w:sz="4" w:space="0" w:color="000000"/>
              <w:right w:val="single" w:sz="4" w:space="0" w:color="000000"/>
            </w:tcBorders>
            <w:shd w:val="clear" w:color="auto" w:fill="auto"/>
            <w:vAlign w:val="center"/>
          </w:tcPr>
          <w:bookmarkEnd w:id="0"/>
          <w:p w14:paraId="66BFCD98" w14:textId="77777777" w:rsidR="009E4C9F" w:rsidRPr="00A5489D" w:rsidRDefault="009E4C9F" w:rsidP="00914CD1">
            <w:pPr>
              <w:pStyle w:val="TableParagraph"/>
              <w:spacing w:line="276" w:lineRule="auto"/>
              <w:ind w:left="107" w:right="94" w:firstLine="2"/>
              <w:jc w:val="center"/>
              <w:rPr>
                <w:b/>
                <w:sz w:val="20"/>
                <w:szCs w:val="20"/>
              </w:rPr>
            </w:pPr>
            <w:r w:rsidRPr="00A5489D">
              <w:rPr>
                <w:b/>
                <w:spacing w:val="-2"/>
                <w:sz w:val="20"/>
                <w:szCs w:val="20"/>
              </w:rPr>
              <w:t xml:space="preserve">Oznaka </w:t>
            </w:r>
            <w:r>
              <w:rPr>
                <w:b/>
                <w:spacing w:val="-2"/>
                <w:sz w:val="20"/>
                <w:szCs w:val="20"/>
              </w:rPr>
              <w:t>VD</w:t>
            </w:r>
          </w:p>
        </w:tc>
        <w:tc>
          <w:tcPr>
            <w:tcW w:w="5954" w:type="dxa"/>
            <w:tcBorders>
              <w:left w:val="single" w:sz="4" w:space="0" w:color="000000"/>
              <w:right w:val="single" w:sz="4" w:space="0" w:color="000000"/>
            </w:tcBorders>
            <w:shd w:val="clear" w:color="auto" w:fill="auto"/>
          </w:tcPr>
          <w:p w14:paraId="673F2585" w14:textId="77777777" w:rsidR="009E4C9F" w:rsidRPr="00A5489D" w:rsidRDefault="009E4C9F" w:rsidP="00914CD1">
            <w:pPr>
              <w:pStyle w:val="TableParagraph"/>
              <w:spacing w:line="276" w:lineRule="auto"/>
              <w:ind w:left="2484" w:right="2477"/>
              <w:jc w:val="center"/>
              <w:rPr>
                <w:b/>
                <w:sz w:val="20"/>
                <w:szCs w:val="20"/>
              </w:rPr>
            </w:pPr>
            <w:r w:rsidRPr="00A5489D">
              <w:rPr>
                <w:b/>
                <w:sz w:val="20"/>
                <w:szCs w:val="20"/>
              </w:rPr>
              <w:t>Vrsta</w:t>
            </w:r>
            <w:r w:rsidRPr="00A5489D">
              <w:rPr>
                <w:b/>
                <w:spacing w:val="-7"/>
                <w:sz w:val="20"/>
                <w:szCs w:val="20"/>
              </w:rPr>
              <w:t xml:space="preserve"> </w:t>
            </w:r>
            <w:r w:rsidRPr="00012E35">
              <w:rPr>
                <w:b/>
                <w:spacing w:val="-2"/>
                <w:sz w:val="18"/>
                <w:szCs w:val="18"/>
              </w:rPr>
              <w:t>dohodka</w:t>
            </w:r>
          </w:p>
        </w:tc>
        <w:tc>
          <w:tcPr>
            <w:tcW w:w="2268" w:type="dxa"/>
            <w:tcBorders>
              <w:left w:val="single" w:sz="4" w:space="0" w:color="000000"/>
              <w:bottom w:val="double" w:sz="4" w:space="0" w:color="000000"/>
              <w:right w:val="single" w:sz="4" w:space="0" w:color="000000"/>
            </w:tcBorders>
            <w:shd w:val="clear" w:color="auto" w:fill="auto"/>
          </w:tcPr>
          <w:p w14:paraId="7C8F4F55" w14:textId="77777777" w:rsidR="009E4C9F" w:rsidRPr="0060724A" w:rsidRDefault="009E4C9F" w:rsidP="00914CD1">
            <w:pPr>
              <w:pStyle w:val="TableParagraph"/>
              <w:spacing w:line="276" w:lineRule="auto"/>
              <w:ind w:left="77" w:firstLine="211"/>
              <w:rPr>
                <w:b/>
                <w:sz w:val="18"/>
                <w:szCs w:val="18"/>
              </w:rPr>
            </w:pPr>
            <w:r w:rsidRPr="0060724A">
              <w:rPr>
                <w:b/>
                <w:spacing w:val="-2"/>
                <w:sz w:val="18"/>
                <w:szCs w:val="18"/>
              </w:rPr>
              <w:t xml:space="preserve">ZDoh-2 </w:t>
            </w:r>
          </w:p>
        </w:tc>
      </w:tr>
      <w:tr w:rsidR="009E4C9F" w:rsidRPr="00A5489D" w14:paraId="19F33BD3"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BD6511"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8204</w:t>
            </w:r>
          </w:p>
        </w:tc>
        <w:tc>
          <w:tcPr>
            <w:tcW w:w="5954" w:type="dxa"/>
            <w:tcBorders>
              <w:top w:val="single" w:sz="4" w:space="0" w:color="auto"/>
              <w:left w:val="single" w:sz="4" w:space="0" w:color="auto"/>
              <w:bottom w:val="single" w:sz="4" w:space="0" w:color="auto"/>
              <w:right w:val="single" w:sz="4" w:space="0" w:color="auto"/>
            </w:tcBorders>
          </w:tcPr>
          <w:p w14:paraId="75DB1523" w14:textId="77777777" w:rsidR="009E4C9F" w:rsidRPr="009E4C9F" w:rsidRDefault="009E4C9F" w:rsidP="00914CD1">
            <w:pPr>
              <w:spacing w:line="276" w:lineRule="auto"/>
              <w:rPr>
                <w:rFonts w:cs="Arial"/>
                <w:szCs w:val="20"/>
                <w:lang w:val="it-IT"/>
              </w:rPr>
            </w:pPr>
            <w:r w:rsidRPr="009E4C9F">
              <w:rPr>
                <w:rFonts w:cs="Arial"/>
                <w:szCs w:val="20"/>
                <w:lang w:val="it-IT"/>
              </w:rPr>
              <w:t>Dohodek javnega uslužbenca in funkcionarja, napotenega na delo v tujino</w:t>
            </w:r>
          </w:p>
        </w:tc>
        <w:tc>
          <w:tcPr>
            <w:tcW w:w="2268" w:type="dxa"/>
            <w:tcBorders>
              <w:top w:val="single" w:sz="4" w:space="0" w:color="auto"/>
              <w:left w:val="single" w:sz="4" w:space="0" w:color="auto"/>
              <w:bottom w:val="single" w:sz="4" w:space="0" w:color="auto"/>
              <w:right w:val="single" w:sz="4" w:space="0" w:color="auto"/>
            </w:tcBorders>
            <w:vAlign w:val="center"/>
          </w:tcPr>
          <w:p w14:paraId="70C6E95B" w14:textId="77777777" w:rsidR="009E4C9F" w:rsidRPr="0060724A" w:rsidRDefault="009E4C9F" w:rsidP="00914CD1">
            <w:pPr>
              <w:spacing w:line="276" w:lineRule="auto"/>
              <w:rPr>
                <w:rFonts w:cs="Arial"/>
                <w:sz w:val="18"/>
                <w:szCs w:val="18"/>
              </w:rPr>
            </w:pPr>
            <w:proofErr w:type="spellStart"/>
            <w:r w:rsidRPr="0060724A">
              <w:rPr>
                <w:rFonts w:cs="Arial"/>
                <w:sz w:val="18"/>
                <w:szCs w:val="18"/>
              </w:rPr>
              <w:t>prvi</w:t>
            </w:r>
            <w:proofErr w:type="spellEnd"/>
            <w:r w:rsidRPr="0060724A">
              <w:rPr>
                <w:rFonts w:cs="Arial"/>
                <w:sz w:val="18"/>
                <w:szCs w:val="18"/>
              </w:rPr>
              <w:t xml:space="preserve"> </w:t>
            </w:r>
            <w:proofErr w:type="spellStart"/>
            <w:r w:rsidRPr="0060724A">
              <w:rPr>
                <w:rFonts w:cs="Arial"/>
                <w:sz w:val="18"/>
                <w:szCs w:val="18"/>
              </w:rPr>
              <w:t>odstavek</w:t>
            </w:r>
            <w:proofErr w:type="spellEnd"/>
            <w:r w:rsidRPr="0060724A">
              <w:rPr>
                <w:rFonts w:cs="Arial"/>
                <w:sz w:val="18"/>
                <w:szCs w:val="18"/>
              </w:rPr>
              <w:t xml:space="preserve"> 42. </w:t>
            </w:r>
            <w:proofErr w:type="spellStart"/>
            <w:r w:rsidRPr="0060724A">
              <w:rPr>
                <w:rFonts w:cs="Arial"/>
                <w:sz w:val="18"/>
                <w:szCs w:val="18"/>
              </w:rPr>
              <w:t>čl</w:t>
            </w:r>
            <w:proofErr w:type="spellEnd"/>
            <w:r w:rsidRPr="0060724A">
              <w:rPr>
                <w:rFonts w:cs="Arial"/>
                <w:sz w:val="18"/>
                <w:szCs w:val="18"/>
              </w:rPr>
              <w:t>. ZDoh-2</w:t>
            </w:r>
          </w:p>
        </w:tc>
      </w:tr>
      <w:tr w:rsidR="009E4C9F" w:rsidRPr="009E4C9F" w14:paraId="5AE5EB58"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AD98F"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8205</w:t>
            </w:r>
          </w:p>
        </w:tc>
        <w:tc>
          <w:tcPr>
            <w:tcW w:w="5954" w:type="dxa"/>
            <w:tcBorders>
              <w:top w:val="single" w:sz="4" w:space="0" w:color="auto"/>
              <w:left w:val="single" w:sz="4" w:space="0" w:color="auto"/>
              <w:bottom w:val="single" w:sz="4" w:space="0" w:color="auto"/>
              <w:right w:val="single" w:sz="4" w:space="0" w:color="auto"/>
            </w:tcBorders>
          </w:tcPr>
          <w:p w14:paraId="0988F681" w14:textId="77777777" w:rsidR="009E4C9F" w:rsidRPr="009E4C9F" w:rsidRDefault="009E4C9F" w:rsidP="00914CD1">
            <w:pPr>
              <w:spacing w:line="276" w:lineRule="auto"/>
              <w:rPr>
                <w:rFonts w:cs="Arial"/>
                <w:szCs w:val="20"/>
                <w:lang w:val="sl-SI"/>
              </w:rPr>
            </w:pPr>
            <w:r w:rsidRPr="009E4C9F">
              <w:rPr>
                <w:rFonts w:cs="Arial"/>
                <w:szCs w:val="20"/>
                <w:lang w:val="sl-SI"/>
              </w:rPr>
              <w:t>Mesečni pavšalni znesek za pokrivanje stroškov opravljanja funkcije v zvezi z delom v volilni enoti</w:t>
            </w:r>
          </w:p>
        </w:tc>
        <w:tc>
          <w:tcPr>
            <w:tcW w:w="2268" w:type="dxa"/>
            <w:tcBorders>
              <w:top w:val="single" w:sz="4" w:space="0" w:color="auto"/>
              <w:left w:val="single" w:sz="4" w:space="0" w:color="auto"/>
              <w:bottom w:val="single" w:sz="4" w:space="0" w:color="auto"/>
              <w:right w:val="single" w:sz="4" w:space="0" w:color="auto"/>
            </w:tcBorders>
            <w:vAlign w:val="center"/>
          </w:tcPr>
          <w:p w14:paraId="66656523" w14:textId="77777777" w:rsidR="009E4C9F" w:rsidRPr="009E4C9F" w:rsidRDefault="009E4C9F" w:rsidP="00914CD1">
            <w:pPr>
              <w:spacing w:line="276" w:lineRule="auto"/>
              <w:rPr>
                <w:rFonts w:cs="Arial"/>
                <w:sz w:val="18"/>
                <w:szCs w:val="18"/>
                <w:lang w:val="sl-SI"/>
              </w:rPr>
            </w:pPr>
            <w:r w:rsidRPr="009E4C9F">
              <w:rPr>
                <w:rFonts w:cs="Arial"/>
                <w:sz w:val="18"/>
                <w:szCs w:val="18"/>
                <w:lang w:val="sl-SI"/>
              </w:rPr>
              <w:t>3. točka prvega odstavka 44. čl. ZDoh-2</w:t>
            </w:r>
          </w:p>
        </w:tc>
      </w:tr>
      <w:tr w:rsidR="009E4C9F" w:rsidRPr="00A5489D" w14:paraId="4021690B"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283EF"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8206</w:t>
            </w:r>
          </w:p>
        </w:tc>
        <w:tc>
          <w:tcPr>
            <w:tcW w:w="5954" w:type="dxa"/>
            <w:tcBorders>
              <w:top w:val="single" w:sz="4" w:space="0" w:color="auto"/>
              <w:left w:val="single" w:sz="4" w:space="0" w:color="auto"/>
              <w:bottom w:val="single" w:sz="4" w:space="0" w:color="auto"/>
              <w:right w:val="single" w:sz="4" w:space="0" w:color="auto"/>
            </w:tcBorders>
          </w:tcPr>
          <w:p w14:paraId="470C300E" w14:textId="77777777" w:rsidR="009E4C9F" w:rsidRPr="009E4C9F" w:rsidRDefault="009E4C9F" w:rsidP="00914CD1">
            <w:pPr>
              <w:spacing w:line="276" w:lineRule="auto"/>
              <w:rPr>
                <w:rFonts w:cs="Arial"/>
                <w:szCs w:val="20"/>
                <w:lang w:val="sl-SI"/>
              </w:rPr>
            </w:pPr>
            <w:r w:rsidRPr="009E4C9F">
              <w:rPr>
                <w:rFonts w:cs="Arial"/>
                <w:szCs w:val="20"/>
                <w:lang w:val="sl-SI"/>
              </w:rPr>
              <w:t>Povračilo stroškov delojemalcu za plačane premije za individualno zdravstveno zavarovanje z medicinsko asistenco v tujini</w:t>
            </w:r>
          </w:p>
        </w:tc>
        <w:tc>
          <w:tcPr>
            <w:tcW w:w="2268" w:type="dxa"/>
            <w:tcBorders>
              <w:top w:val="single" w:sz="4" w:space="0" w:color="auto"/>
              <w:left w:val="single" w:sz="4" w:space="0" w:color="auto"/>
              <w:bottom w:val="single" w:sz="4" w:space="0" w:color="auto"/>
              <w:right w:val="single" w:sz="4" w:space="0" w:color="auto"/>
            </w:tcBorders>
            <w:vAlign w:val="center"/>
          </w:tcPr>
          <w:p w14:paraId="399C66D2" w14:textId="77777777" w:rsidR="009E4C9F" w:rsidRPr="0060724A" w:rsidRDefault="009E4C9F" w:rsidP="00914CD1">
            <w:pPr>
              <w:spacing w:line="276" w:lineRule="auto"/>
              <w:rPr>
                <w:rFonts w:cs="Arial"/>
                <w:sz w:val="18"/>
                <w:szCs w:val="18"/>
              </w:rPr>
            </w:pPr>
            <w:r w:rsidRPr="0052142D">
              <w:rPr>
                <w:rFonts w:cs="Arial"/>
                <w:sz w:val="18"/>
                <w:szCs w:val="18"/>
                <w:lang w:val="it-IT"/>
              </w:rPr>
              <w:t xml:space="preserve">4.a. točka prvega odstavka 44. čl. </w:t>
            </w:r>
            <w:r w:rsidRPr="0060724A">
              <w:rPr>
                <w:rFonts w:cs="Arial"/>
                <w:sz w:val="18"/>
                <w:szCs w:val="18"/>
              </w:rPr>
              <w:t>ZDoh-2</w:t>
            </w:r>
          </w:p>
        </w:tc>
      </w:tr>
      <w:tr w:rsidR="009E4C9F" w:rsidRPr="0052142D" w14:paraId="2AA52DA0"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C7B445"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8207</w:t>
            </w:r>
          </w:p>
        </w:tc>
        <w:tc>
          <w:tcPr>
            <w:tcW w:w="5954" w:type="dxa"/>
            <w:tcBorders>
              <w:top w:val="single" w:sz="4" w:space="0" w:color="auto"/>
              <w:left w:val="single" w:sz="4" w:space="0" w:color="auto"/>
              <w:bottom w:val="single" w:sz="4" w:space="0" w:color="auto"/>
              <w:right w:val="single" w:sz="4" w:space="0" w:color="auto"/>
            </w:tcBorders>
          </w:tcPr>
          <w:p w14:paraId="745B9CC5" w14:textId="77777777" w:rsidR="009E4C9F" w:rsidRPr="0052142D" w:rsidRDefault="009E4C9F" w:rsidP="00914CD1">
            <w:pPr>
              <w:spacing w:line="276" w:lineRule="auto"/>
              <w:rPr>
                <w:rFonts w:cs="Arial"/>
                <w:szCs w:val="20"/>
                <w:lang w:val="it-IT"/>
              </w:rPr>
            </w:pPr>
            <w:bookmarkStart w:id="1" w:name="_Hlk101261435"/>
            <w:r w:rsidRPr="0052142D">
              <w:rPr>
                <w:rFonts w:cs="Arial"/>
                <w:szCs w:val="20"/>
                <w:lang w:val="it-IT"/>
              </w:rPr>
              <w:t>Nadomestilo za uporabo lastnega orodja, naprav in predmetov</w:t>
            </w:r>
            <w:bookmarkEnd w:id="1"/>
          </w:p>
        </w:tc>
        <w:tc>
          <w:tcPr>
            <w:tcW w:w="2268" w:type="dxa"/>
            <w:tcBorders>
              <w:top w:val="single" w:sz="4" w:space="0" w:color="auto"/>
              <w:left w:val="single" w:sz="4" w:space="0" w:color="auto"/>
              <w:bottom w:val="single" w:sz="4" w:space="0" w:color="auto"/>
              <w:right w:val="single" w:sz="4" w:space="0" w:color="auto"/>
            </w:tcBorders>
            <w:vAlign w:val="center"/>
          </w:tcPr>
          <w:p w14:paraId="799A2C5F"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6. točka prvega odstavka 44. čl. ZDoh-2</w:t>
            </w:r>
          </w:p>
        </w:tc>
      </w:tr>
      <w:tr w:rsidR="009E4C9F" w:rsidRPr="0052142D" w14:paraId="33B90AC4"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D4295F"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8208</w:t>
            </w:r>
          </w:p>
        </w:tc>
        <w:tc>
          <w:tcPr>
            <w:tcW w:w="5954" w:type="dxa"/>
            <w:tcBorders>
              <w:top w:val="single" w:sz="4" w:space="0" w:color="auto"/>
              <w:left w:val="single" w:sz="4" w:space="0" w:color="auto"/>
              <w:bottom w:val="single" w:sz="4" w:space="0" w:color="auto"/>
              <w:right w:val="single" w:sz="4" w:space="0" w:color="auto"/>
            </w:tcBorders>
          </w:tcPr>
          <w:p w14:paraId="6F43D79B" w14:textId="77777777" w:rsidR="009E4C9F" w:rsidRPr="0052142D" w:rsidRDefault="009E4C9F" w:rsidP="00914CD1">
            <w:pPr>
              <w:spacing w:line="276" w:lineRule="auto"/>
              <w:rPr>
                <w:rFonts w:cs="Arial"/>
                <w:szCs w:val="20"/>
                <w:lang w:val="it-IT"/>
              </w:rPr>
            </w:pPr>
            <w:r w:rsidRPr="0052142D">
              <w:rPr>
                <w:rFonts w:cs="Arial"/>
                <w:szCs w:val="20"/>
                <w:lang w:val="it-IT"/>
              </w:rPr>
              <w:t>Nadomestilo za uporabo lastnih sredstev pri delu na domu</w:t>
            </w:r>
          </w:p>
        </w:tc>
        <w:tc>
          <w:tcPr>
            <w:tcW w:w="2268" w:type="dxa"/>
            <w:tcBorders>
              <w:top w:val="single" w:sz="4" w:space="0" w:color="auto"/>
              <w:left w:val="single" w:sz="4" w:space="0" w:color="auto"/>
              <w:bottom w:val="single" w:sz="4" w:space="0" w:color="auto"/>
              <w:right w:val="single" w:sz="4" w:space="0" w:color="auto"/>
            </w:tcBorders>
            <w:vAlign w:val="center"/>
          </w:tcPr>
          <w:p w14:paraId="18B35B0F"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10. točka prvega odstavka 44. čl. ZDoh-2</w:t>
            </w:r>
          </w:p>
        </w:tc>
      </w:tr>
      <w:tr w:rsidR="009E4C9F" w:rsidRPr="00A5489D" w14:paraId="446881E1"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EE382"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8301</w:t>
            </w:r>
          </w:p>
        </w:tc>
        <w:tc>
          <w:tcPr>
            <w:tcW w:w="5954" w:type="dxa"/>
            <w:tcBorders>
              <w:top w:val="single" w:sz="4" w:space="0" w:color="auto"/>
              <w:left w:val="single" w:sz="4" w:space="0" w:color="auto"/>
              <w:bottom w:val="single" w:sz="4" w:space="0" w:color="auto"/>
              <w:right w:val="single" w:sz="4" w:space="0" w:color="auto"/>
            </w:tcBorders>
          </w:tcPr>
          <w:p w14:paraId="6DCAD80D" w14:textId="77777777" w:rsidR="009E4C9F" w:rsidRPr="0052142D" w:rsidDel="00016487" w:rsidRDefault="009E4C9F" w:rsidP="00914CD1">
            <w:pPr>
              <w:spacing w:line="276" w:lineRule="auto"/>
              <w:rPr>
                <w:rFonts w:cs="Arial"/>
                <w:szCs w:val="20"/>
                <w:lang w:val="sl-SI"/>
              </w:rPr>
            </w:pPr>
            <w:r w:rsidRPr="0052142D">
              <w:rPr>
                <w:rFonts w:cs="Arial"/>
                <w:szCs w:val="20"/>
                <w:lang w:val="sl-SI"/>
              </w:rPr>
              <w:t>Dohodek za odstop prostora za izvedbo volitev ali referenduma na državni ali lokalni ravni, izvedenih v skladu z zakonom, če dohodek ne presega 84 eurov.</w:t>
            </w:r>
          </w:p>
        </w:tc>
        <w:tc>
          <w:tcPr>
            <w:tcW w:w="2268" w:type="dxa"/>
            <w:tcBorders>
              <w:top w:val="single" w:sz="4" w:space="0" w:color="auto"/>
              <w:left w:val="single" w:sz="4" w:space="0" w:color="auto"/>
              <w:bottom w:val="single" w:sz="4" w:space="0" w:color="auto"/>
              <w:right w:val="single" w:sz="4" w:space="0" w:color="auto"/>
            </w:tcBorders>
            <w:vAlign w:val="center"/>
          </w:tcPr>
          <w:p w14:paraId="19CF6528" w14:textId="77777777" w:rsidR="009E4C9F" w:rsidRPr="0060724A" w:rsidDel="00016487" w:rsidRDefault="009E4C9F" w:rsidP="00914CD1">
            <w:pPr>
              <w:spacing w:line="276" w:lineRule="auto"/>
              <w:rPr>
                <w:rFonts w:cs="Arial"/>
                <w:sz w:val="18"/>
                <w:szCs w:val="18"/>
              </w:rPr>
            </w:pPr>
            <w:r w:rsidRPr="0060724A">
              <w:rPr>
                <w:rFonts w:cs="Arial"/>
                <w:sz w:val="18"/>
                <w:szCs w:val="18"/>
              </w:rPr>
              <w:t xml:space="preserve">4. </w:t>
            </w:r>
            <w:proofErr w:type="spellStart"/>
            <w:r w:rsidRPr="0060724A">
              <w:rPr>
                <w:rFonts w:cs="Arial"/>
                <w:sz w:val="18"/>
                <w:szCs w:val="18"/>
              </w:rPr>
              <w:t>točka</w:t>
            </w:r>
            <w:proofErr w:type="spellEnd"/>
            <w:r w:rsidRPr="0060724A">
              <w:rPr>
                <w:rFonts w:cs="Arial"/>
                <w:sz w:val="18"/>
                <w:szCs w:val="18"/>
              </w:rPr>
              <w:t xml:space="preserve"> 76.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35806D4E"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B601D" w14:textId="77777777" w:rsidR="009E4C9F" w:rsidRPr="00A5489D" w:rsidRDefault="009E4C9F" w:rsidP="00914CD1">
            <w:pPr>
              <w:pStyle w:val="TableParagraph"/>
              <w:spacing w:line="276" w:lineRule="auto"/>
              <w:ind w:left="298" w:right="289"/>
              <w:jc w:val="center"/>
              <w:rPr>
                <w:b/>
                <w:spacing w:val="-4"/>
                <w:sz w:val="20"/>
                <w:szCs w:val="20"/>
              </w:rPr>
            </w:pPr>
            <w:r w:rsidRPr="00A5489D">
              <w:rPr>
                <w:b/>
                <w:spacing w:val="-4"/>
                <w:sz w:val="20"/>
                <w:szCs w:val="20"/>
              </w:rPr>
              <w:t>8302</w:t>
            </w:r>
          </w:p>
        </w:tc>
        <w:tc>
          <w:tcPr>
            <w:tcW w:w="5954" w:type="dxa"/>
            <w:tcBorders>
              <w:top w:val="single" w:sz="4" w:space="0" w:color="auto"/>
              <w:left w:val="single" w:sz="4" w:space="0" w:color="auto"/>
              <w:bottom w:val="single" w:sz="4" w:space="0" w:color="auto"/>
              <w:right w:val="single" w:sz="4" w:space="0" w:color="auto"/>
            </w:tcBorders>
          </w:tcPr>
          <w:p w14:paraId="7EB32E65" w14:textId="77777777" w:rsidR="009E4C9F" w:rsidRPr="0052142D" w:rsidRDefault="009E4C9F" w:rsidP="00914CD1">
            <w:pPr>
              <w:spacing w:line="276" w:lineRule="auto"/>
              <w:rPr>
                <w:rFonts w:cs="Arial"/>
                <w:szCs w:val="20"/>
                <w:lang w:val="sl-SI"/>
              </w:rPr>
            </w:pPr>
            <w:r w:rsidRPr="0052142D">
              <w:rPr>
                <w:rFonts w:cs="Arial"/>
                <w:szCs w:val="20"/>
                <w:lang w:val="sl-SI"/>
              </w:rPr>
              <w:t>Dohodek iz življenjskega zavarovanja, ki je sklenjeno za primer smrti in se izplača zaradi smrti osebe;</w:t>
            </w:r>
          </w:p>
        </w:tc>
        <w:tc>
          <w:tcPr>
            <w:tcW w:w="2268" w:type="dxa"/>
            <w:tcBorders>
              <w:top w:val="single" w:sz="4" w:space="0" w:color="auto"/>
              <w:left w:val="single" w:sz="4" w:space="0" w:color="auto"/>
              <w:bottom w:val="single" w:sz="4" w:space="0" w:color="auto"/>
              <w:right w:val="single" w:sz="4" w:space="0" w:color="auto"/>
            </w:tcBorders>
            <w:vAlign w:val="center"/>
          </w:tcPr>
          <w:p w14:paraId="3B07CE41" w14:textId="77777777" w:rsidR="009E4C9F" w:rsidRPr="0060724A" w:rsidRDefault="009E4C9F" w:rsidP="00914CD1">
            <w:pPr>
              <w:spacing w:line="276" w:lineRule="auto"/>
              <w:rPr>
                <w:rFonts w:cs="Arial"/>
                <w:sz w:val="18"/>
                <w:szCs w:val="18"/>
              </w:rPr>
            </w:pPr>
            <w:r w:rsidRPr="0060724A">
              <w:rPr>
                <w:rFonts w:cs="Arial"/>
                <w:sz w:val="18"/>
                <w:szCs w:val="18"/>
              </w:rPr>
              <w:t xml:space="preserve">3. </w:t>
            </w:r>
            <w:proofErr w:type="spellStart"/>
            <w:r w:rsidRPr="0060724A">
              <w:rPr>
                <w:rFonts w:cs="Arial"/>
                <w:sz w:val="18"/>
                <w:szCs w:val="18"/>
              </w:rPr>
              <w:t>točka</w:t>
            </w:r>
            <w:proofErr w:type="spellEnd"/>
            <w:r w:rsidRPr="0060724A">
              <w:rPr>
                <w:rFonts w:cs="Arial"/>
                <w:sz w:val="18"/>
                <w:szCs w:val="18"/>
              </w:rPr>
              <w:t xml:space="preserve"> 82.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3575A7AA"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0D13" w14:textId="77777777" w:rsidR="009E4C9F" w:rsidRPr="00A5489D" w:rsidRDefault="009E4C9F" w:rsidP="00914CD1">
            <w:pPr>
              <w:pStyle w:val="TableParagraph"/>
              <w:spacing w:line="276" w:lineRule="auto"/>
              <w:jc w:val="center"/>
              <w:rPr>
                <w:b/>
                <w:sz w:val="20"/>
                <w:szCs w:val="20"/>
              </w:rPr>
            </w:pPr>
            <w:r w:rsidRPr="00A5489D">
              <w:rPr>
                <w:b/>
                <w:sz w:val="20"/>
                <w:szCs w:val="20"/>
              </w:rPr>
              <w:t>8303</w:t>
            </w:r>
          </w:p>
        </w:tc>
        <w:tc>
          <w:tcPr>
            <w:tcW w:w="5954" w:type="dxa"/>
            <w:tcBorders>
              <w:top w:val="single" w:sz="4" w:space="0" w:color="auto"/>
              <w:left w:val="single" w:sz="4" w:space="0" w:color="auto"/>
              <w:bottom w:val="single" w:sz="4" w:space="0" w:color="auto"/>
              <w:right w:val="single" w:sz="4" w:space="0" w:color="auto"/>
            </w:tcBorders>
          </w:tcPr>
          <w:p w14:paraId="39784D2C" w14:textId="77777777" w:rsidR="009E4C9F" w:rsidRPr="0052142D" w:rsidRDefault="009E4C9F" w:rsidP="00914CD1">
            <w:pPr>
              <w:spacing w:line="276" w:lineRule="auto"/>
              <w:rPr>
                <w:rFonts w:cs="Arial"/>
                <w:szCs w:val="20"/>
                <w:lang w:val="sl-SI"/>
              </w:rPr>
            </w:pPr>
            <w:r w:rsidRPr="0052142D">
              <w:rPr>
                <w:rFonts w:cs="Arial"/>
                <w:szCs w:val="20"/>
                <w:lang w:val="sl-SI"/>
              </w:rPr>
              <w:t>Dohodek iz življenjskega zavarovanja, pri katerem nastane pravica zahtevati izplačilo zavarovalne vsote po preteku 10 let od dneva sklenitve pogodbe o življ. zavarovanju, sta sklenitelj zavarovanja in upravičenec do zavarovalne vsote ena in ista oseba, in ni podana zahteva za izplačilo odkupne vrednosti police življ. zavarovanja pred potekom roka 10 let</w:t>
            </w:r>
          </w:p>
        </w:tc>
        <w:tc>
          <w:tcPr>
            <w:tcW w:w="2268" w:type="dxa"/>
            <w:tcBorders>
              <w:top w:val="single" w:sz="4" w:space="0" w:color="auto"/>
              <w:left w:val="single" w:sz="4" w:space="0" w:color="auto"/>
              <w:bottom w:val="single" w:sz="4" w:space="0" w:color="auto"/>
              <w:right w:val="single" w:sz="4" w:space="0" w:color="auto"/>
            </w:tcBorders>
            <w:vAlign w:val="center"/>
          </w:tcPr>
          <w:p w14:paraId="57355E76" w14:textId="77777777" w:rsidR="009E4C9F" w:rsidRPr="0060724A" w:rsidRDefault="009E4C9F" w:rsidP="00914CD1">
            <w:pPr>
              <w:spacing w:line="276" w:lineRule="auto"/>
              <w:rPr>
                <w:rFonts w:cs="Arial"/>
                <w:sz w:val="18"/>
                <w:szCs w:val="18"/>
              </w:rPr>
            </w:pPr>
            <w:r w:rsidRPr="0060724A">
              <w:rPr>
                <w:rFonts w:cs="Arial"/>
                <w:sz w:val="18"/>
                <w:szCs w:val="18"/>
              </w:rPr>
              <w:t xml:space="preserve">4. </w:t>
            </w:r>
            <w:proofErr w:type="spellStart"/>
            <w:r w:rsidRPr="0060724A">
              <w:rPr>
                <w:rFonts w:cs="Arial"/>
                <w:sz w:val="18"/>
                <w:szCs w:val="18"/>
              </w:rPr>
              <w:t>točka</w:t>
            </w:r>
            <w:proofErr w:type="spellEnd"/>
            <w:r w:rsidRPr="0060724A">
              <w:rPr>
                <w:rFonts w:cs="Arial"/>
                <w:sz w:val="18"/>
                <w:szCs w:val="18"/>
              </w:rPr>
              <w:t xml:space="preserve"> 82.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58C68EA7"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F394" w14:textId="77777777" w:rsidR="009E4C9F" w:rsidRPr="00A5489D" w:rsidRDefault="009E4C9F" w:rsidP="00914CD1">
            <w:pPr>
              <w:pStyle w:val="TableParagraph"/>
              <w:spacing w:line="276" w:lineRule="auto"/>
              <w:jc w:val="center"/>
              <w:rPr>
                <w:b/>
                <w:sz w:val="20"/>
                <w:szCs w:val="20"/>
              </w:rPr>
            </w:pPr>
            <w:r w:rsidRPr="00A5489D">
              <w:rPr>
                <w:b/>
                <w:sz w:val="20"/>
                <w:szCs w:val="20"/>
              </w:rPr>
              <w:t>8304</w:t>
            </w:r>
          </w:p>
        </w:tc>
        <w:tc>
          <w:tcPr>
            <w:tcW w:w="5954" w:type="dxa"/>
            <w:tcBorders>
              <w:top w:val="single" w:sz="4" w:space="0" w:color="auto"/>
              <w:left w:val="single" w:sz="4" w:space="0" w:color="auto"/>
              <w:bottom w:val="single" w:sz="4" w:space="0" w:color="auto"/>
              <w:right w:val="single" w:sz="4" w:space="0" w:color="auto"/>
            </w:tcBorders>
          </w:tcPr>
          <w:p w14:paraId="15667845" w14:textId="77777777" w:rsidR="009E4C9F" w:rsidRPr="00A5489D" w:rsidRDefault="009E4C9F" w:rsidP="00914CD1">
            <w:pPr>
              <w:spacing w:line="276" w:lineRule="auto"/>
              <w:rPr>
                <w:rFonts w:cs="Arial"/>
                <w:szCs w:val="20"/>
              </w:rPr>
            </w:pPr>
            <w:proofErr w:type="spellStart"/>
            <w:r w:rsidRPr="00A5489D">
              <w:rPr>
                <w:rFonts w:cs="Arial"/>
                <w:szCs w:val="20"/>
              </w:rPr>
              <w:t>Kadrovska</w:t>
            </w:r>
            <w:proofErr w:type="spellEnd"/>
            <w:r w:rsidRPr="00A5489D">
              <w:rPr>
                <w:rFonts w:cs="Arial"/>
                <w:szCs w:val="20"/>
              </w:rPr>
              <w:t xml:space="preserve"> in </w:t>
            </w:r>
            <w:proofErr w:type="spellStart"/>
            <w:r w:rsidRPr="00A5489D">
              <w:rPr>
                <w:rFonts w:cs="Arial"/>
                <w:szCs w:val="20"/>
              </w:rPr>
              <w:t>druga</w:t>
            </w:r>
            <w:proofErr w:type="spellEnd"/>
            <w:r w:rsidRPr="00A5489D">
              <w:rPr>
                <w:rFonts w:cs="Arial"/>
                <w:szCs w:val="20"/>
              </w:rPr>
              <w:t xml:space="preserve"> </w:t>
            </w:r>
            <w:proofErr w:type="spellStart"/>
            <w:r w:rsidRPr="00A5489D">
              <w:rPr>
                <w:rFonts w:cs="Arial"/>
                <w:szCs w:val="20"/>
              </w:rPr>
              <w:t>štipendija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7209A27" w14:textId="77777777" w:rsidR="009E4C9F" w:rsidRPr="0060724A" w:rsidRDefault="009E4C9F" w:rsidP="00914CD1">
            <w:pPr>
              <w:spacing w:line="276" w:lineRule="auto"/>
              <w:rPr>
                <w:rFonts w:cs="Arial"/>
                <w:sz w:val="18"/>
                <w:szCs w:val="18"/>
              </w:rPr>
            </w:pPr>
            <w:r w:rsidRPr="0060724A">
              <w:rPr>
                <w:rFonts w:cs="Arial"/>
                <w:sz w:val="18"/>
                <w:szCs w:val="18"/>
              </w:rPr>
              <w:t xml:space="preserve">106. </w:t>
            </w:r>
            <w:proofErr w:type="spellStart"/>
            <w:r w:rsidRPr="0060724A">
              <w:rPr>
                <w:rFonts w:cs="Arial"/>
                <w:sz w:val="18"/>
                <w:szCs w:val="18"/>
              </w:rPr>
              <w:t>člen</w:t>
            </w:r>
            <w:proofErr w:type="spellEnd"/>
            <w:r w:rsidRPr="0060724A">
              <w:rPr>
                <w:rFonts w:cs="Arial"/>
                <w:sz w:val="18"/>
                <w:szCs w:val="18"/>
              </w:rPr>
              <w:t xml:space="preserve"> ZDoh-2</w:t>
            </w:r>
          </w:p>
        </w:tc>
      </w:tr>
      <w:tr w:rsidR="009E4C9F" w:rsidRPr="00A5489D" w14:paraId="56AD3E2A"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B7741" w14:textId="77777777" w:rsidR="009E4C9F" w:rsidRPr="00A5489D" w:rsidRDefault="009E4C9F" w:rsidP="00914CD1">
            <w:pPr>
              <w:pStyle w:val="TableParagraph"/>
              <w:spacing w:line="276" w:lineRule="auto"/>
              <w:jc w:val="center"/>
              <w:rPr>
                <w:b/>
                <w:sz w:val="20"/>
                <w:szCs w:val="20"/>
              </w:rPr>
            </w:pPr>
            <w:r w:rsidRPr="00A5489D">
              <w:rPr>
                <w:b/>
                <w:sz w:val="20"/>
                <w:szCs w:val="20"/>
              </w:rPr>
              <w:lastRenderedPageBreak/>
              <w:t>8305</w:t>
            </w:r>
          </w:p>
        </w:tc>
        <w:tc>
          <w:tcPr>
            <w:tcW w:w="5954" w:type="dxa"/>
            <w:tcBorders>
              <w:top w:val="single" w:sz="4" w:space="0" w:color="auto"/>
              <w:left w:val="single" w:sz="4" w:space="0" w:color="auto"/>
              <w:bottom w:val="single" w:sz="4" w:space="0" w:color="auto"/>
              <w:right w:val="single" w:sz="4" w:space="0" w:color="auto"/>
            </w:tcBorders>
          </w:tcPr>
          <w:p w14:paraId="53FAE99B" w14:textId="77777777" w:rsidR="009E4C9F" w:rsidRPr="0052142D" w:rsidDel="00016487" w:rsidRDefault="009E4C9F" w:rsidP="00914CD1">
            <w:pPr>
              <w:spacing w:line="276" w:lineRule="auto"/>
              <w:rPr>
                <w:rFonts w:cs="Arial"/>
                <w:szCs w:val="20"/>
                <w:lang w:val="sl-SI"/>
              </w:rPr>
            </w:pPr>
            <w:r w:rsidRPr="0052142D">
              <w:rPr>
                <w:rFonts w:cs="Arial"/>
                <w:szCs w:val="20"/>
                <w:lang w:val="sl-SI"/>
              </w:rPr>
              <w:t xml:space="preserve">Nagrade in priznanja za izjemne dosežke na humanitarnem, znanstveno-raziskovalnem, kulturnem, vzgojno-izobraževalnem, športnem ali socialnem področju ter na področju prostovoljstva, </w:t>
            </w:r>
          </w:p>
        </w:tc>
        <w:tc>
          <w:tcPr>
            <w:tcW w:w="2268" w:type="dxa"/>
            <w:tcBorders>
              <w:top w:val="single" w:sz="4" w:space="0" w:color="auto"/>
              <w:left w:val="single" w:sz="4" w:space="0" w:color="auto"/>
              <w:bottom w:val="single" w:sz="4" w:space="0" w:color="auto"/>
              <w:right w:val="single" w:sz="4" w:space="0" w:color="auto"/>
            </w:tcBorders>
            <w:vAlign w:val="center"/>
          </w:tcPr>
          <w:p w14:paraId="5BE0B5D9" w14:textId="77777777" w:rsidR="009E4C9F" w:rsidRPr="0060724A" w:rsidDel="00016487" w:rsidRDefault="009E4C9F" w:rsidP="00914CD1">
            <w:pPr>
              <w:spacing w:line="276" w:lineRule="auto"/>
              <w:rPr>
                <w:rFonts w:cs="Arial"/>
                <w:sz w:val="18"/>
                <w:szCs w:val="18"/>
              </w:rPr>
            </w:pPr>
            <w:r w:rsidRPr="0060724A">
              <w:rPr>
                <w:rFonts w:cs="Arial"/>
                <w:sz w:val="18"/>
                <w:szCs w:val="18"/>
              </w:rPr>
              <w:t xml:space="preserve">1.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009FC54E"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6C685" w14:textId="77777777" w:rsidR="009E4C9F" w:rsidRPr="00A5489D" w:rsidRDefault="009E4C9F" w:rsidP="00914CD1">
            <w:pPr>
              <w:pStyle w:val="TableParagraph"/>
              <w:spacing w:line="276" w:lineRule="auto"/>
              <w:jc w:val="center"/>
              <w:rPr>
                <w:b/>
                <w:sz w:val="20"/>
                <w:szCs w:val="20"/>
              </w:rPr>
            </w:pPr>
            <w:r w:rsidRPr="00A5489D">
              <w:rPr>
                <w:b/>
                <w:sz w:val="20"/>
                <w:szCs w:val="20"/>
              </w:rPr>
              <w:t>8306</w:t>
            </w:r>
          </w:p>
        </w:tc>
        <w:tc>
          <w:tcPr>
            <w:tcW w:w="5954" w:type="dxa"/>
            <w:tcBorders>
              <w:top w:val="single" w:sz="4" w:space="0" w:color="auto"/>
              <w:left w:val="single" w:sz="4" w:space="0" w:color="auto"/>
              <w:bottom w:val="single" w:sz="4" w:space="0" w:color="auto"/>
              <w:right w:val="single" w:sz="4" w:space="0" w:color="auto"/>
            </w:tcBorders>
          </w:tcPr>
          <w:p w14:paraId="036AC06D" w14:textId="77777777" w:rsidR="009E4C9F" w:rsidRPr="0052142D" w:rsidRDefault="009E4C9F" w:rsidP="00914CD1">
            <w:pPr>
              <w:spacing w:line="276" w:lineRule="auto"/>
              <w:rPr>
                <w:rFonts w:cs="Arial"/>
                <w:szCs w:val="20"/>
                <w:lang w:val="sl-SI"/>
              </w:rPr>
            </w:pPr>
            <w:r w:rsidRPr="0052142D">
              <w:rPr>
                <w:rFonts w:cs="Arial"/>
                <w:szCs w:val="20"/>
                <w:lang w:val="sl-SI"/>
              </w:rPr>
              <w:t>Dnevna povračila stroškov po pravilih EU izplačana fizični osebi, ki sodeluje v projektu tesnega medinstitucionalnega sodelovanja, in v zvezi s tem prejme le navedene prejemke;</w:t>
            </w:r>
          </w:p>
        </w:tc>
        <w:tc>
          <w:tcPr>
            <w:tcW w:w="2268" w:type="dxa"/>
            <w:tcBorders>
              <w:top w:val="single" w:sz="4" w:space="0" w:color="auto"/>
              <w:left w:val="single" w:sz="4" w:space="0" w:color="auto"/>
              <w:bottom w:val="single" w:sz="4" w:space="0" w:color="auto"/>
              <w:right w:val="single" w:sz="4" w:space="0" w:color="auto"/>
            </w:tcBorders>
            <w:vAlign w:val="center"/>
          </w:tcPr>
          <w:p w14:paraId="3164BC7D" w14:textId="77777777" w:rsidR="009E4C9F" w:rsidRPr="0060724A" w:rsidRDefault="009E4C9F" w:rsidP="00914CD1">
            <w:pPr>
              <w:spacing w:line="276" w:lineRule="auto"/>
              <w:rPr>
                <w:rFonts w:cs="Arial"/>
                <w:sz w:val="18"/>
                <w:szCs w:val="18"/>
              </w:rPr>
            </w:pPr>
            <w:r w:rsidRPr="0060724A">
              <w:rPr>
                <w:rFonts w:cs="Arial"/>
                <w:sz w:val="18"/>
                <w:szCs w:val="18"/>
              </w:rPr>
              <w:t xml:space="preserve">3.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17DB6393"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60F62A" w14:textId="77777777" w:rsidR="009E4C9F" w:rsidRPr="00A5489D" w:rsidRDefault="009E4C9F" w:rsidP="00914CD1">
            <w:pPr>
              <w:pStyle w:val="TableParagraph"/>
              <w:spacing w:line="276" w:lineRule="auto"/>
              <w:jc w:val="center"/>
              <w:rPr>
                <w:b/>
                <w:sz w:val="20"/>
                <w:szCs w:val="20"/>
              </w:rPr>
            </w:pPr>
            <w:r w:rsidRPr="00A5489D">
              <w:rPr>
                <w:b/>
                <w:sz w:val="20"/>
                <w:szCs w:val="20"/>
              </w:rPr>
              <w:t>8307</w:t>
            </w:r>
          </w:p>
        </w:tc>
        <w:tc>
          <w:tcPr>
            <w:tcW w:w="5954" w:type="dxa"/>
            <w:tcBorders>
              <w:top w:val="single" w:sz="4" w:space="0" w:color="auto"/>
              <w:left w:val="single" w:sz="4" w:space="0" w:color="auto"/>
              <w:bottom w:val="single" w:sz="4" w:space="0" w:color="auto"/>
              <w:right w:val="single" w:sz="4" w:space="0" w:color="auto"/>
            </w:tcBorders>
          </w:tcPr>
          <w:p w14:paraId="7ED05EE7" w14:textId="77777777" w:rsidR="009E4C9F" w:rsidRPr="0052142D" w:rsidRDefault="009E4C9F" w:rsidP="00914CD1">
            <w:pPr>
              <w:spacing w:line="276" w:lineRule="auto"/>
              <w:rPr>
                <w:rFonts w:cs="Arial"/>
                <w:szCs w:val="20"/>
                <w:lang w:val="sl-SI"/>
              </w:rPr>
            </w:pPr>
            <w:r w:rsidRPr="0052142D">
              <w:rPr>
                <w:rFonts w:cs="Arial"/>
                <w:szCs w:val="20"/>
                <w:lang w:val="sl-SI"/>
              </w:rPr>
              <w:t>Prejemki, namenjenih pokritju stroškov prevoza, nočitve in dnevnice izplačani fizični osebi, ki se udeleži posveta z mednarodno udeležbo in v zvezi s tem prejme le povračilo stroškov pod pogoji in do višin, ki so določeni za povračila stroškov v predpisu vlade iz 44. člena tega zakona;</w:t>
            </w:r>
          </w:p>
        </w:tc>
        <w:tc>
          <w:tcPr>
            <w:tcW w:w="2268" w:type="dxa"/>
            <w:tcBorders>
              <w:top w:val="single" w:sz="4" w:space="0" w:color="auto"/>
              <w:left w:val="single" w:sz="4" w:space="0" w:color="auto"/>
              <w:bottom w:val="single" w:sz="4" w:space="0" w:color="auto"/>
              <w:right w:val="single" w:sz="4" w:space="0" w:color="auto"/>
            </w:tcBorders>
            <w:vAlign w:val="center"/>
          </w:tcPr>
          <w:p w14:paraId="1AD5D1B9" w14:textId="77777777" w:rsidR="009E4C9F" w:rsidRPr="0060724A" w:rsidRDefault="009E4C9F" w:rsidP="00914CD1">
            <w:pPr>
              <w:spacing w:line="276" w:lineRule="auto"/>
              <w:rPr>
                <w:rFonts w:cs="Arial"/>
                <w:sz w:val="18"/>
                <w:szCs w:val="18"/>
              </w:rPr>
            </w:pPr>
            <w:r w:rsidRPr="0060724A">
              <w:rPr>
                <w:rFonts w:cs="Arial"/>
                <w:sz w:val="18"/>
                <w:szCs w:val="18"/>
              </w:rPr>
              <w:t xml:space="preserve">4.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w:t>
            </w:r>
            <w:proofErr w:type="spellEnd"/>
            <w:r w:rsidRPr="0060724A">
              <w:rPr>
                <w:rFonts w:cs="Arial"/>
                <w:sz w:val="18"/>
                <w:szCs w:val="18"/>
              </w:rPr>
              <w:t>. ZDoh-2</w:t>
            </w:r>
          </w:p>
        </w:tc>
      </w:tr>
      <w:tr w:rsidR="009E4C9F" w:rsidRPr="00A5489D" w14:paraId="3BCCFC47"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87CF2D" w14:textId="77777777" w:rsidR="009E4C9F" w:rsidRPr="00A5489D" w:rsidRDefault="009E4C9F" w:rsidP="00914CD1">
            <w:pPr>
              <w:pStyle w:val="TableParagraph"/>
              <w:spacing w:line="276" w:lineRule="auto"/>
              <w:jc w:val="center"/>
              <w:rPr>
                <w:b/>
                <w:sz w:val="20"/>
                <w:szCs w:val="20"/>
              </w:rPr>
            </w:pPr>
            <w:r w:rsidRPr="00A5489D">
              <w:rPr>
                <w:b/>
                <w:sz w:val="20"/>
                <w:szCs w:val="20"/>
              </w:rPr>
              <w:t>8308</w:t>
            </w:r>
          </w:p>
        </w:tc>
        <w:tc>
          <w:tcPr>
            <w:tcW w:w="5954" w:type="dxa"/>
            <w:tcBorders>
              <w:top w:val="single" w:sz="4" w:space="0" w:color="auto"/>
              <w:left w:val="single" w:sz="4" w:space="0" w:color="auto"/>
              <w:bottom w:val="single" w:sz="4" w:space="0" w:color="auto"/>
              <w:right w:val="single" w:sz="4" w:space="0" w:color="auto"/>
            </w:tcBorders>
          </w:tcPr>
          <w:p w14:paraId="3323C3D8" w14:textId="77777777" w:rsidR="009E4C9F" w:rsidRPr="0052142D" w:rsidRDefault="009E4C9F" w:rsidP="00914CD1">
            <w:pPr>
              <w:spacing w:line="276" w:lineRule="auto"/>
              <w:rPr>
                <w:rFonts w:cs="Arial"/>
                <w:szCs w:val="20"/>
                <w:lang w:val="sl-SI"/>
              </w:rPr>
            </w:pPr>
            <w:r w:rsidRPr="0052142D">
              <w:rPr>
                <w:rFonts w:cs="Arial"/>
                <w:szCs w:val="20"/>
                <w:lang w:val="sl-SI"/>
              </w:rPr>
              <w:t>Družinske invalidnine in družinski dodatek po zakonu o vojnih invalidih, ki jih prejmejo družinski člani osebe, ki je padla, umrla ali je bila pogrešana pri opravljanju vojaških ali drugih dolžnosti za cilje obrambe ali varnosti Republike Slovenije in družinski člani osebe, ki je na tej podlagi uveljavila status vojaškega vojnega invalida ali civilnega invalida vojne, po njeni smrti.</w:t>
            </w:r>
          </w:p>
        </w:tc>
        <w:tc>
          <w:tcPr>
            <w:tcW w:w="2268" w:type="dxa"/>
            <w:tcBorders>
              <w:top w:val="single" w:sz="4" w:space="0" w:color="auto"/>
              <w:left w:val="single" w:sz="4" w:space="0" w:color="auto"/>
              <w:bottom w:val="single" w:sz="4" w:space="0" w:color="auto"/>
              <w:right w:val="single" w:sz="4" w:space="0" w:color="auto"/>
            </w:tcBorders>
            <w:vAlign w:val="center"/>
          </w:tcPr>
          <w:p w14:paraId="7E1D0EC8" w14:textId="77777777" w:rsidR="009E4C9F" w:rsidRPr="0060724A" w:rsidRDefault="009E4C9F" w:rsidP="00914CD1">
            <w:pPr>
              <w:spacing w:line="276" w:lineRule="auto"/>
              <w:rPr>
                <w:rFonts w:cs="Arial"/>
                <w:sz w:val="18"/>
                <w:szCs w:val="18"/>
              </w:rPr>
            </w:pPr>
            <w:r w:rsidRPr="0060724A">
              <w:rPr>
                <w:rFonts w:cs="Arial"/>
                <w:sz w:val="18"/>
                <w:szCs w:val="18"/>
              </w:rPr>
              <w:t xml:space="preserve">7. </w:t>
            </w:r>
            <w:proofErr w:type="spellStart"/>
            <w:r w:rsidRPr="0060724A">
              <w:rPr>
                <w:rFonts w:cs="Arial"/>
                <w:sz w:val="18"/>
                <w:szCs w:val="18"/>
              </w:rPr>
              <w:t>točka</w:t>
            </w:r>
            <w:proofErr w:type="spellEnd"/>
            <w:r w:rsidRPr="0060724A">
              <w:rPr>
                <w:rFonts w:cs="Arial"/>
                <w:sz w:val="18"/>
                <w:szCs w:val="18"/>
              </w:rPr>
              <w:t xml:space="preserve"> 107. </w:t>
            </w:r>
            <w:proofErr w:type="spellStart"/>
            <w:r w:rsidRPr="0060724A">
              <w:rPr>
                <w:rFonts w:cs="Arial"/>
                <w:sz w:val="18"/>
                <w:szCs w:val="18"/>
              </w:rPr>
              <w:t>člena</w:t>
            </w:r>
            <w:proofErr w:type="spellEnd"/>
            <w:r w:rsidRPr="0060724A">
              <w:rPr>
                <w:rFonts w:cs="Arial"/>
                <w:sz w:val="18"/>
                <w:szCs w:val="18"/>
              </w:rPr>
              <w:t xml:space="preserve"> ZDoh-2</w:t>
            </w:r>
          </w:p>
        </w:tc>
      </w:tr>
      <w:tr w:rsidR="009E4C9F" w:rsidRPr="00A5489D" w14:paraId="74B3A0FF"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6FFBE" w14:textId="77777777" w:rsidR="009E4C9F" w:rsidRPr="00A5489D" w:rsidRDefault="009E4C9F" w:rsidP="00914CD1">
            <w:pPr>
              <w:pStyle w:val="TableParagraph"/>
              <w:spacing w:line="276" w:lineRule="auto"/>
              <w:jc w:val="center"/>
              <w:rPr>
                <w:b/>
                <w:sz w:val="20"/>
                <w:szCs w:val="20"/>
              </w:rPr>
            </w:pPr>
            <w:r w:rsidRPr="00A5489D">
              <w:rPr>
                <w:b/>
                <w:sz w:val="20"/>
                <w:szCs w:val="20"/>
              </w:rPr>
              <w:t>8309</w:t>
            </w:r>
          </w:p>
        </w:tc>
        <w:tc>
          <w:tcPr>
            <w:tcW w:w="5954" w:type="dxa"/>
            <w:tcBorders>
              <w:top w:val="single" w:sz="4" w:space="0" w:color="auto"/>
              <w:left w:val="single" w:sz="4" w:space="0" w:color="auto"/>
              <w:bottom w:val="single" w:sz="4" w:space="0" w:color="auto"/>
              <w:right w:val="single" w:sz="4" w:space="0" w:color="auto"/>
            </w:tcBorders>
          </w:tcPr>
          <w:p w14:paraId="3BBDEE98" w14:textId="77777777" w:rsidR="009E4C9F" w:rsidRPr="0052142D" w:rsidRDefault="009E4C9F" w:rsidP="00914CD1">
            <w:pPr>
              <w:spacing w:line="276" w:lineRule="auto"/>
              <w:rPr>
                <w:rFonts w:cs="Arial"/>
                <w:szCs w:val="20"/>
                <w:lang w:val="sl-SI"/>
              </w:rPr>
            </w:pPr>
            <w:r w:rsidRPr="0052142D">
              <w:rPr>
                <w:rFonts w:cs="Arial"/>
                <w:szCs w:val="20"/>
                <w:lang w:val="sl-SI"/>
              </w:rPr>
              <w:t xml:space="preserve">Stroški prevoza, nočitve in dnevnice izplačani fizični osebi pod pogoji iz četrtega odstavka 108. člena ZDoh-2 </w:t>
            </w:r>
          </w:p>
        </w:tc>
        <w:tc>
          <w:tcPr>
            <w:tcW w:w="2268" w:type="dxa"/>
            <w:tcBorders>
              <w:top w:val="single" w:sz="4" w:space="0" w:color="auto"/>
              <w:left w:val="single" w:sz="4" w:space="0" w:color="auto"/>
              <w:bottom w:val="single" w:sz="4" w:space="0" w:color="auto"/>
              <w:right w:val="single" w:sz="4" w:space="0" w:color="auto"/>
            </w:tcBorders>
            <w:vAlign w:val="center"/>
          </w:tcPr>
          <w:p w14:paraId="00771D81" w14:textId="77777777" w:rsidR="009E4C9F" w:rsidRPr="0060724A" w:rsidRDefault="009E4C9F" w:rsidP="00914CD1">
            <w:pPr>
              <w:spacing w:line="276" w:lineRule="auto"/>
              <w:rPr>
                <w:rFonts w:cs="Arial"/>
                <w:sz w:val="18"/>
                <w:szCs w:val="18"/>
              </w:rPr>
            </w:pPr>
            <w:proofErr w:type="spellStart"/>
            <w:r w:rsidRPr="0060724A">
              <w:rPr>
                <w:rFonts w:cs="Arial"/>
                <w:sz w:val="18"/>
                <w:szCs w:val="18"/>
              </w:rPr>
              <w:t>četrti</w:t>
            </w:r>
            <w:proofErr w:type="spellEnd"/>
            <w:r w:rsidRPr="0060724A">
              <w:rPr>
                <w:rFonts w:cs="Arial"/>
                <w:sz w:val="18"/>
                <w:szCs w:val="18"/>
              </w:rPr>
              <w:t xml:space="preserve"> </w:t>
            </w:r>
            <w:proofErr w:type="spellStart"/>
            <w:r w:rsidRPr="0060724A">
              <w:rPr>
                <w:rFonts w:cs="Arial"/>
                <w:sz w:val="18"/>
                <w:szCs w:val="18"/>
              </w:rPr>
              <w:t>odstavek</w:t>
            </w:r>
            <w:proofErr w:type="spellEnd"/>
            <w:r w:rsidRPr="0060724A">
              <w:rPr>
                <w:rFonts w:cs="Arial"/>
                <w:sz w:val="18"/>
                <w:szCs w:val="18"/>
              </w:rPr>
              <w:t xml:space="preserve"> 108. </w:t>
            </w:r>
            <w:proofErr w:type="spellStart"/>
            <w:r w:rsidRPr="0060724A">
              <w:rPr>
                <w:rFonts w:cs="Arial"/>
                <w:sz w:val="18"/>
                <w:szCs w:val="18"/>
              </w:rPr>
              <w:t>čl</w:t>
            </w:r>
            <w:r>
              <w:rPr>
                <w:rFonts w:cs="Arial"/>
                <w:sz w:val="18"/>
                <w:szCs w:val="18"/>
              </w:rPr>
              <w:t>ena</w:t>
            </w:r>
            <w:proofErr w:type="spellEnd"/>
            <w:r w:rsidRPr="0060724A">
              <w:rPr>
                <w:rFonts w:cs="Arial"/>
                <w:sz w:val="18"/>
                <w:szCs w:val="18"/>
              </w:rPr>
              <w:t xml:space="preserve"> ZDoh-2</w:t>
            </w:r>
          </w:p>
        </w:tc>
      </w:tr>
      <w:tr w:rsidR="009E4C9F" w:rsidRPr="0052142D" w14:paraId="52B9E8E6"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44D40" w14:textId="77777777" w:rsidR="009E4C9F" w:rsidRPr="00A5489D" w:rsidRDefault="009E4C9F" w:rsidP="00914CD1">
            <w:pPr>
              <w:pStyle w:val="TableParagraph"/>
              <w:spacing w:line="276" w:lineRule="auto"/>
              <w:jc w:val="center"/>
              <w:rPr>
                <w:b/>
                <w:sz w:val="20"/>
                <w:szCs w:val="20"/>
              </w:rPr>
            </w:pPr>
            <w:r w:rsidRPr="00A5489D">
              <w:rPr>
                <w:b/>
                <w:sz w:val="20"/>
                <w:szCs w:val="20"/>
              </w:rPr>
              <w:t>8310</w:t>
            </w:r>
          </w:p>
        </w:tc>
        <w:tc>
          <w:tcPr>
            <w:tcW w:w="5954" w:type="dxa"/>
            <w:tcBorders>
              <w:top w:val="single" w:sz="4" w:space="0" w:color="auto"/>
              <w:left w:val="single" w:sz="4" w:space="0" w:color="auto"/>
              <w:bottom w:val="single" w:sz="4" w:space="0" w:color="auto"/>
              <w:right w:val="single" w:sz="4" w:space="0" w:color="auto"/>
            </w:tcBorders>
          </w:tcPr>
          <w:p w14:paraId="338463F2" w14:textId="77777777" w:rsidR="009E4C9F" w:rsidRPr="0052142D" w:rsidDel="00D934F0" w:rsidRDefault="009E4C9F" w:rsidP="00914CD1">
            <w:pPr>
              <w:spacing w:line="276" w:lineRule="auto"/>
              <w:rPr>
                <w:rFonts w:cs="Arial"/>
                <w:szCs w:val="20"/>
                <w:lang w:val="sl-SI"/>
              </w:rPr>
            </w:pPr>
            <w:r w:rsidRPr="0052142D">
              <w:rPr>
                <w:rFonts w:cs="Arial"/>
                <w:szCs w:val="20"/>
                <w:lang w:val="sl-SI"/>
              </w:rPr>
              <w:t>Nadomestilo za osebne stroške prostovoljcu, ki je napoten na opravljanje organiziranega prostovoljskega dela iz tujine v Slovenijo ali iz Slovenije v tujino na podlagi dogovora s prostovoljsko organizacijo</w:t>
            </w:r>
          </w:p>
        </w:tc>
        <w:tc>
          <w:tcPr>
            <w:tcW w:w="2268" w:type="dxa"/>
            <w:tcBorders>
              <w:top w:val="single" w:sz="4" w:space="0" w:color="auto"/>
              <w:left w:val="single" w:sz="4" w:space="0" w:color="auto"/>
              <w:bottom w:val="single" w:sz="4" w:space="0" w:color="auto"/>
              <w:right w:val="single" w:sz="4" w:space="0" w:color="auto"/>
            </w:tcBorders>
            <w:vAlign w:val="center"/>
          </w:tcPr>
          <w:p w14:paraId="78FB10A1"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2. točka petega odstavka 108. člena ZDoh-2</w:t>
            </w:r>
          </w:p>
        </w:tc>
      </w:tr>
      <w:tr w:rsidR="009E4C9F" w:rsidRPr="0052142D" w14:paraId="26A56DF8" w14:textId="77777777" w:rsidTr="00914CD1">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8957F" w14:textId="77777777" w:rsidR="009E4C9F" w:rsidRPr="00A5489D" w:rsidRDefault="009E4C9F" w:rsidP="00914CD1">
            <w:pPr>
              <w:pStyle w:val="TableParagraph"/>
              <w:spacing w:line="276" w:lineRule="auto"/>
              <w:jc w:val="center"/>
              <w:rPr>
                <w:b/>
                <w:sz w:val="20"/>
                <w:szCs w:val="20"/>
              </w:rPr>
            </w:pPr>
            <w:r w:rsidRPr="00A5489D">
              <w:rPr>
                <w:b/>
                <w:sz w:val="20"/>
                <w:szCs w:val="20"/>
              </w:rPr>
              <w:t>8311</w:t>
            </w:r>
          </w:p>
        </w:tc>
        <w:tc>
          <w:tcPr>
            <w:tcW w:w="5954" w:type="dxa"/>
            <w:tcBorders>
              <w:top w:val="single" w:sz="4" w:space="0" w:color="auto"/>
              <w:left w:val="single" w:sz="4" w:space="0" w:color="auto"/>
              <w:bottom w:val="single" w:sz="4" w:space="0" w:color="auto"/>
              <w:right w:val="single" w:sz="4" w:space="0" w:color="auto"/>
            </w:tcBorders>
          </w:tcPr>
          <w:p w14:paraId="4CFC1016" w14:textId="77777777" w:rsidR="009E4C9F" w:rsidRPr="0052142D" w:rsidRDefault="009E4C9F" w:rsidP="00914CD1">
            <w:pPr>
              <w:spacing w:line="276" w:lineRule="auto"/>
              <w:rPr>
                <w:rFonts w:cs="Arial"/>
                <w:szCs w:val="20"/>
                <w:lang w:val="sl-SI"/>
              </w:rPr>
            </w:pPr>
            <w:r w:rsidRPr="0052142D">
              <w:rPr>
                <w:rFonts w:cs="Arial"/>
                <w:szCs w:val="20"/>
                <w:lang w:val="sl-SI"/>
              </w:rPr>
              <w:t xml:space="preserve">Nagrada, ki jo prostovoljska organizacija izplača prostovoljcu za izjemne dosežke </w:t>
            </w:r>
          </w:p>
          <w:p w14:paraId="7D020BDB" w14:textId="77777777" w:rsidR="009E4C9F" w:rsidRPr="0052142D" w:rsidRDefault="009E4C9F" w:rsidP="00914CD1">
            <w:pPr>
              <w:spacing w:line="276" w:lineRule="auto"/>
              <w:rPr>
                <w:rFonts w:cs="Arial"/>
                <w:szCs w:val="20"/>
                <w:lang w:val="sl-SI"/>
              </w:rPr>
            </w:pPr>
          </w:p>
        </w:tc>
        <w:tc>
          <w:tcPr>
            <w:tcW w:w="2268" w:type="dxa"/>
            <w:tcBorders>
              <w:top w:val="single" w:sz="4" w:space="0" w:color="auto"/>
              <w:left w:val="single" w:sz="4" w:space="0" w:color="auto"/>
              <w:bottom w:val="single" w:sz="4" w:space="0" w:color="auto"/>
              <w:right w:val="single" w:sz="4" w:space="0" w:color="auto"/>
            </w:tcBorders>
            <w:vAlign w:val="center"/>
          </w:tcPr>
          <w:p w14:paraId="528DD807"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3. točka petega odstavka 108. člena ZDoh-2</w:t>
            </w:r>
          </w:p>
        </w:tc>
      </w:tr>
      <w:tr w:rsidR="009E4C9F" w:rsidRPr="0052142D" w14:paraId="463EC775" w14:textId="77777777" w:rsidTr="00914CD1">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88C60" w14:textId="77777777" w:rsidR="009E4C9F" w:rsidRPr="00A5489D" w:rsidRDefault="009E4C9F" w:rsidP="00914CD1">
            <w:pPr>
              <w:pStyle w:val="TableParagraph"/>
              <w:spacing w:line="276" w:lineRule="auto"/>
              <w:jc w:val="center"/>
              <w:rPr>
                <w:b/>
                <w:sz w:val="20"/>
                <w:szCs w:val="20"/>
              </w:rPr>
            </w:pPr>
            <w:r w:rsidRPr="00A5489D">
              <w:rPr>
                <w:b/>
                <w:sz w:val="20"/>
                <w:szCs w:val="20"/>
              </w:rPr>
              <w:t>8312</w:t>
            </w:r>
          </w:p>
        </w:tc>
        <w:tc>
          <w:tcPr>
            <w:tcW w:w="5954" w:type="dxa"/>
            <w:tcBorders>
              <w:top w:val="single" w:sz="4" w:space="0" w:color="auto"/>
              <w:left w:val="single" w:sz="4" w:space="0" w:color="auto"/>
              <w:bottom w:val="single" w:sz="4" w:space="0" w:color="auto"/>
              <w:right w:val="single" w:sz="4" w:space="0" w:color="auto"/>
            </w:tcBorders>
          </w:tcPr>
          <w:p w14:paraId="32AE0B14" w14:textId="77777777" w:rsidR="009E4C9F" w:rsidRPr="0052142D" w:rsidRDefault="009E4C9F" w:rsidP="00914CD1">
            <w:pPr>
              <w:spacing w:line="276" w:lineRule="auto"/>
              <w:rPr>
                <w:rFonts w:cs="Arial"/>
                <w:szCs w:val="20"/>
                <w:lang w:val="it-IT"/>
              </w:rPr>
            </w:pPr>
            <w:r w:rsidRPr="0052142D">
              <w:rPr>
                <w:rFonts w:cs="Arial"/>
                <w:szCs w:val="20"/>
                <w:lang w:val="it-IT"/>
              </w:rPr>
              <w:t>Plačilo prostovoljske organizacije za nezgodno zavarovanje prostovoljca</w:t>
            </w:r>
          </w:p>
        </w:tc>
        <w:tc>
          <w:tcPr>
            <w:tcW w:w="2268" w:type="dxa"/>
            <w:tcBorders>
              <w:top w:val="single" w:sz="4" w:space="0" w:color="auto"/>
              <w:left w:val="single" w:sz="4" w:space="0" w:color="auto"/>
              <w:bottom w:val="single" w:sz="4" w:space="0" w:color="auto"/>
              <w:right w:val="single" w:sz="4" w:space="0" w:color="auto"/>
            </w:tcBorders>
            <w:vAlign w:val="center"/>
          </w:tcPr>
          <w:p w14:paraId="59EBCDB0" w14:textId="77777777" w:rsidR="009E4C9F" w:rsidRPr="0052142D" w:rsidRDefault="009E4C9F" w:rsidP="00914CD1">
            <w:pPr>
              <w:spacing w:line="276" w:lineRule="auto"/>
              <w:rPr>
                <w:rFonts w:cs="Arial"/>
                <w:sz w:val="18"/>
                <w:szCs w:val="18"/>
                <w:lang w:val="it-IT"/>
              </w:rPr>
            </w:pPr>
            <w:r w:rsidRPr="0052142D">
              <w:rPr>
                <w:rFonts w:cs="Arial"/>
                <w:sz w:val="18"/>
                <w:szCs w:val="18"/>
                <w:lang w:val="it-IT"/>
              </w:rPr>
              <w:t>4. točka petega odstavka 108. člena ZDoh-2</w:t>
            </w:r>
          </w:p>
        </w:tc>
      </w:tr>
    </w:tbl>
    <w:p w14:paraId="7176AA45" w14:textId="77777777" w:rsidR="009E4C9F" w:rsidRPr="0052142D" w:rsidRDefault="009E4C9F" w:rsidP="009E4C9F">
      <w:pPr>
        <w:rPr>
          <w:rFonts w:cs="Arial"/>
          <w:szCs w:val="20"/>
          <w:lang w:val="it-IT"/>
        </w:rPr>
      </w:pPr>
    </w:p>
    <w:p w14:paraId="706EFFF1" w14:textId="77777777" w:rsidR="009E4C9F" w:rsidRPr="0052142D" w:rsidRDefault="009E4C9F" w:rsidP="009E4C9F">
      <w:pPr>
        <w:rPr>
          <w:rFonts w:ascii="Times New Roman" w:hAnsi="Times New Roman"/>
          <w:sz w:val="24"/>
          <w:lang w:val="it-IT"/>
        </w:rPr>
      </w:pPr>
      <w:r w:rsidRPr="0052142D">
        <w:rPr>
          <w:rFonts w:cs="Arial"/>
          <w:szCs w:val="20"/>
          <w:lang w:val="it-IT"/>
        </w:rPr>
        <w:t xml:space="preserve">Shema za oblikovanje datoteke je objavljena na portalu eDavki, kjer je tudi možno testiranje na odprtem portalu </w:t>
      </w:r>
      <w:hyperlink r:id="rId9" w:history="1">
        <w:proofErr w:type="spellStart"/>
        <w:r w:rsidRPr="0052142D">
          <w:rPr>
            <w:rStyle w:val="Hiperpovezava"/>
            <w:lang w:val="it-IT"/>
          </w:rPr>
          <w:t>eDavki</w:t>
        </w:r>
        <w:proofErr w:type="spellEnd"/>
        <w:r w:rsidRPr="0052142D">
          <w:rPr>
            <w:rStyle w:val="Hiperpovezava"/>
            <w:lang w:val="it-IT"/>
          </w:rPr>
          <w:t xml:space="preserve"> - </w:t>
        </w:r>
        <w:proofErr w:type="spellStart"/>
        <w:r w:rsidRPr="0052142D">
          <w:rPr>
            <w:rStyle w:val="Hiperpovezava"/>
            <w:lang w:val="it-IT"/>
          </w:rPr>
          <w:t>Prva</w:t>
        </w:r>
        <w:proofErr w:type="spellEnd"/>
        <w:r w:rsidRPr="0052142D">
          <w:rPr>
            <w:rStyle w:val="Hiperpovezava"/>
            <w:lang w:val="it-IT"/>
          </w:rPr>
          <w:t xml:space="preserve"> </w:t>
        </w:r>
        <w:proofErr w:type="spellStart"/>
        <w:r w:rsidRPr="0052142D">
          <w:rPr>
            <w:rStyle w:val="Hiperpovezava"/>
            <w:lang w:val="it-IT"/>
          </w:rPr>
          <w:t>stran</w:t>
        </w:r>
        <w:proofErr w:type="spellEnd"/>
        <w:r w:rsidRPr="0052142D">
          <w:rPr>
            <w:rStyle w:val="Hiperpovezava"/>
            <w:lang w:val="it-IT"/>
          </w:rPr>
          <w:t xml:space="preserve"> (durs.si)</w:t>
        </w:r>
      </w:hyperlink>
    </w:p>
    <w:p w14:paraId="6D5DA986" w14:textId="77777777" w:rsidR="009E4C9F" w:rsidRPr="0052142D" w:rsidRDefault="009E4C9F" w:rsidP="009E4C9F">
      <w:pPr>
        <w:rPr>
          <w:rFonts w:cs="Arial"/>
          <w:szCs w:val="20"/>
          <w:lang w:val="it-IT"/>
        </w:rPr>
      </w:pPr>
    </w:p>
    <w:p w14:paraId="3D3D65F4" w14:textId="77777777" w:rsidR="009E4C9F" w:rsidRPr="0052142D" w:rsidRDefault="009E4C9F" w:rsidP="009E4C9F">
      <w:pPr>
        <w:rPr>
          <w:rFonts w:cs="Arial"/>
          <w:szCs w:val="20"/>
          <w:lang w:val="it-IT"/>
        </w:rPr>
      </w:pPr>
      <w:r w:rsidRPr="0052142D">
        <w:rPr>
          <w:rFonts w:cs="Arial"/>
          <w:szCs w:val="20"/>
          <w:lang w:val="it-IT"/>
        </w:rPr>
        <w:t>Podatki se pošiljajo za vse fizične osebe, katerim je bil izplačan dohodek, naveden v tabeli. Za poročanje izplačil nerezidentom, ki nimajo slovenske davčne številke, se v polje davčna številka vnese podatek 00000000.</w:t>
      </w:r>
    </w:p>
    <w:p w14:paraId="777D073F" w14:textId="77777777" w:rsidR="009E4C9F" w:rsidRPr="0052142D" w:rsidRDefault="009E4C9F" w:rsidP="009E4C9F">
      <w:pPr>
        <w:rPr>
          <w:rFonts w:cs="Arial"/>
          <w:szCs w:val="20"/>
          <w:lang w:val="it-IT"/>
        </w:rPr>
      </w:pPr>
    </w:p>
    <w:p w14:paraId="128BF247" w14:textId="77777777" w:rsidR="009E4C9F" w:rsidRPr="0052142D" w:rsidRDefault="009E4C9F" w:rsidP="009E4C9F">
      <w:pPr>
        <w:rPr>
          <w:rFonts w:cs="Arial"/>
          <w:szCs w:val="20"/>
          <w:lang w:val="it-IT"/>
        </w:rPr>
      </w:pPr>
      <w:r w:rsidRPr="0052142D">
        <w:rPr>
          <w:rFonts w:cs="Arial"/>
          <w:szCs w:val="20"/>
          <w:lang w:val="it-IT"/>
        </w:rPr>
        <w:t>Ločeno se poroča dohodek, ki se ne všteva oziroma se ne všteva do določene višine v davčno osnovo in celoten izplačan dohodek. Za dohodke, ki so izplačani do višine, ki se ne všteva v davčno osnovo, sta podatka enaka.</w:t>
      </w:r>
    </w:p>
    <w:p w14:paraId="1DDA40F9" w14:textId="77777777" w:rsidR="009E4C9F" w:rsidRPr="0052142D" w:rsidRDefault="009E4C9F" w:rsidP="009E4C9F">
      <w:pPr>
        <w:rPr>
          <w:rFonts w:cs="Arial"/>
          <w:szCs w:val="20"/>
          <w:lang w:val="it-IT"/>
        </w:rPr>
      </w:pPr>
    </w:p>
    <w:p w14:paraId="58FB4641" w14:textId="77777777" w:rsidR="009E4C9F" w:rsidRPr="0052142D" w:rsidRDefault="009E4C9F" w:rsidP="009E4C9F">
      <w:pPr>
        <w:rPr>
          <w:rFonts w:cs="Arial"/>
          <w:szCs w:val="20"/>
          <w:lang w:val="it-IT"/>
        </w:rPr>
      </w:pPr>
      <w:r w:rsidRPr="0052142D">
        <w:rPr>
          <w:rFonts w:cs="Arial"/>
          <w:szCs w:val="20"/>
          <w:lang w:val="it-IT"/>
        </w:rPr>
        <w:t>Primer: izplačilo nadomestila za uporabo lastnih sredstev pri delu na domu v višini 500 eur, od tega se v davčno osnovo všteva 100 eur (za obdavčen del je bil predhodno poslan tudi REK-O obrazec).</w:t>
      </w:r>
    </w:p>
    <w:p w14:paraId="100799F0" w14:textId="3AC3157D" w:rsidR="00DC4554" w:rsidRPr="003900F8" w:rsidRDefault="009E4C9F" w:rsidP="009E4C9F">
      <w:pPr>
        <w:pStyle w:val="ZADEVA"/>
        <w:spacing w:line="276" w:lineRule="auto"/>
        <w:jc w:val="both"/>
        <w:rPr>
          <w:rFonts w:cs="Arial"/>
          <w:szCs w:val="20"/>
          <w:lang w:val="sl-SI"/>
        </w:rPr>
      </w:pPr>
      <w:r>
        <w:rPr>
          <w:rFonts w:cs="Arial"/>
          <w:szCs w:val="20"/>
        </w:rPr>
        <w:t xml:space="preserve">V polje </w:t>
      </w:r>
      <w:proofErr w:type="spellStart"/>
      <w:r>
        <w:rPr>
          <w:rFonts w:cs="Arial"/>
          <w:szCs w:val="20"/>
        </w:rPr>
        <w:t>dohodek</w:t>
      </w:r>
      <w:proofErr w:type="spellEnd"/>
      <w:r>
        <w:rPr>
          <w:rFonts w:cs="Arial"/>
          <w:szCs w:val="20"/>
        </w:rPr>
        <w:t xml:space="preserve"> se </w:t>
      </w:r>
      <w:proofErr w:type="spellStart"/>
      <w:r>
        <w:rPr>
          <w:rFonts w:cs="Arial"/>
          <w:szCs w:val="20"/>
        </w:rPr>
        <w:t>vpiše</w:t>
      </w:r>
      <w:proofErr w:type="spellEnd"/>
      <w:r>
        <w:rPr>
          <w:rFonts w:cs="Arial"/>
          <w:szCs w:val="20"/>
        </w:rPr>
        <w:t xml:space="preserve"> </w:t>
      </w:r>
      <w:proofErr w:type="spellStart"/>
      <w:r>
        <w:rPr>
          <w:rFonts w:cs="Arial"/>
          <w:szCs w:val="20"/>
        </w:rPr>
        <w:t>podatek</w:t>
      </w:r>
      <w:proofErr w:type="spellEnd"/>
      <w:r>
        <w:rPr>
          <w:rFonts w:cs="Arial"/>
          <w:szCs w:val="20"/>
        </w:rPr>
        <w:t xml:space="preserve"> 400,00, v polje </w:t>
      </w:r>
      <w:proofErr w:type="spellStart"/>
      <w:r>
        <w:rPr>
          <w:rFonts w:cs="Arial"/>
          <w:szCs w:val="20"/>
        </w:rPr>
        <w:t>celoten</w:t>
      </w:r>
      <w:proofErr w:type="spellEnd"/>
      <w:r>
        <w:rPr>
          <w:rFonts w:cs="Arial"/>
          <w:szCs w:val="20"/>
        </w:rPr>
        <w:t xml:space="preserve"> </w:t>
      </w:r>
      <w:proofErr w:type="spellStart"/>
      <w:r>
        <w:rPr>
          <w:rFonts w:cs="Arial"/>
          <w:szCs w:val="20"/>
        </w:rPr>
        <w:t>dohodek</w:t>
      </w:r>
      <w:proofErr w:type="spellEnd"/>
      <w:r>
        <w:rPr>
          <w:rFonts w:cs="Arial"/>
          <w:szCs w:val="20"/>
        </w:rPr>
        <w:t xml:space="preserve"> 500,00.</w:t>
      </w:r>
    </w:p>
    <w:sectPr w:rsidR="00DC4554" w:rsidRPr="003900F8" w:rsidSect="001A487C">
      <w:headerReference w:type="default" r:id="rId10"/>
      <w:footerReference w:type="default" r:id="rId11"/>
      <w:headerReference w:type="first" r:id="rId12"/>
      <w:foot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B5D1" w14:textId="77777777" w:rsidR="001A487C" w:rsidRDefault="001A487C">
      <w:pPr>
        <w:spacing w:line="240" w:lineRule="auto"/>
      </w:pPr>
      <w:r>
        <w:separator/>
      </w:r>
    </w:p>
  </w:endnote>
  <w:endnote w:type="continuationSeparator" w:id="0">
    <w:p w14:paraId="1C3C8531" w14:textId="77777777" w:rsidR="001A487C" w:rsidRDefault="001A4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C33A" w14:textId="1729C703" w:rsidR="000F3A88" w:rsidRDefault="00EB1EF4" w:rsidP="000F3A8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AD2424">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AD2424">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87E" w14:textId="31D00145" w:rsidR="000F3A88" w:rsidRDefault="00EB1EF4" w:rsidP="000F3A8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AD2424">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AD2424">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341C" w14:textId="77777777" w:rsidR="001A487C" w:rsidRDefault="001A487C">
      <w:pPr>
        <w:spacing w:line="240" w:lineRule="auto"/>
      </w:pPr>
      <w:r>
        <w:separator/>
      </w:r>
    </w:p>
  </w:footnote>
  <w:footnote w:type="continuationSeparator" w:id="0">
    <w:p w14:paraId="78D0BC34" w14:textId="77777777" w:rsidR="001A487C" w:rsidRDefault="001A4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5925" w14:textId="77777777" w:rsidR="00394F36" w:rsidRPr="00110CBD" w:rsidRDefault="00394F3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253798" w14:paraId="4401D404" w14:textId="77777777" w:rsidTr="00902B19">
      <w:trPr>
        <w:cantSplit/>
        <w:trHeight w:hRule="exact" w:val="847"/>
      </w:trPr>
      <w:tc>
        <w:tcPr>
          <w:tcW w:w="649" w:type="dxa"/>
        </w:tcPr>
        <w:p w14:paraId="70EBEBCF" w14:textId="77777777" w:rsidR="00394F36" w:rsidRDefault="00EB1EF4"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25C24B74" w14:textId="77777777" w:rsidR="00394F36" w:rsidRPr="006D42D9" w:rsidRDefault="00394F36" w:rsidP="006D42D9">
          <w:pPr>
            <w:rPr>
              <w:rFonts w:ascii="Republika" w:hAnsi="Republika"/>
              <w:sz w:val="60"/>
              <w:szCs w:val="60"/>
              <w:lang w:val="sl-SI"/>
            </w:rPr>
          </w:pPr>
        </w:p>
        <w:p w14:paraId="29D5773C" w14:textId="77777777" w:rsidR="00394F36" w:rsidRPr="006D42D9" w:rsidRDefault="00394F36" w:rsidP="006D42D9">
          <w:pPr>
            <w:rPr>
              <w:rFonts w:ascii="Republika" w:hAnsi="Republika"/>
              <w:sz w:val="60"/>
              <w:szCs w:val="60"/>
              <w:lang w:val="sl-SI"/>
            </w:rPr>
          </w:pPr>
        </w:p>
        <w:p w14:paraId="7D4C0751" w14:textId="77777777" w:rsidR="00394F36" w:rsidRPr="006D42D9" w:rsidRDefault="00394F36" w:rsidP="006D42D9">
          <w:pPr>
            <w:rPr>
              <w:rFonts w:ascii="Republika" w:hAnsi="Republika"/>
              <w:sz w:val="60"/>
              <w:szCs w:val="60"/>
              <w:lang w:val="sl-SI"/>
            </w:rPr>
          </w:pPr>
        </w:p>
        <w:p w14:paraId="68C1BC6A" w14:textId="77777777" w:rsidR="00394F36" w:rsidRPr="006D42D9" w:rsidRDefault="00394F36" w:rsidP="006D42D9">
          <w:pPr>
            <w:rPr>
              <w:rFonts w:ascii="Republika" w:hAnsi="Republika"/>
              <w:sz w:val="60"/>
              <w:szCs w:val="60"/>
              <w:lang w:val="sl-SI"/>
            </w:rPr>
          </w:pPr>
        </w:p>
        <w:p w14:paraId="6B661070" w14:textId="77777777" w:rsidR="00394F36" w:rsidRPr="006D42D9" w:rsidRDefault="00394F36" w:rsidP="006D42D9">
          <w:pPr>
            <w:rPr>
              <w:rFonts w:ascii="Republika" w:hAnsi="Republika"/>
              <w:sz w:val="60"/>
              <w:szCs w:val="60"/>
              <w:lang w:val="sl-SI"/>
            </w:rPr>
          </w:pPr>
        </w:p>
        <w:p w14:paraId="45918209" w14:textId="77777777" w:rsidR="00394F36" w:rsidRPr="006D42D9" w:rsidRDefault="00394F36" w:rsidP="006D42D9">
          <w:pPr>
            <w:rPr>
              <w:rFonts w:ascii="Republika" w:hAnsi="Republika"/>
              <w:sz w:val="60"/>
              <w:szCs w:val="60"/>
              <w:lang w:val="sl-SI"/>
            </w:rPr>
          </w:pPr>
        </w:p>
        <w:p w14:paraId="7A367C17" w14:textId="77777777" w:rsidR="00394F36" w:rsidRPr="006D42D9" w:rsidRDefault="00394F36" w:rsidP="006D42D9">
          <w:pPr>
            <w:rPr>
              <w:rFonts w:ascii="Republika" w:hAnsi="Republika"/>
              <w:sz w:val="60"/>
              <w:szCs w:val="60"/>
              <w:lang w:val="sl-SI"/>
            </w:rPr>
          </w:pPr>
        </w:p>
        <w:p w14:paraId="174382FB" w14:textId="77777777" w:rsidR="00394F36" w:rsidRPr="006D42D9" w:rsidRDefault="00394F36" w:rsidP="006D42D9">
          <w:pPr>
            <w:rPr>
              <w:rFonts w:ascii="Republika" w:hAnsi="Republika"/>
              <w:sz w:val="60"/>
              <w:szCs w:val="60"/>
              <w:lang w:val="sl-SI"/>
            </w:rPr>
          </w:pPr>
        </w:p>
        <w:p w14:paraId="14049E25" w14:textId="77777777" w:rsidR="00394F36" w:rsidRPr="006D42D9" w:rsidRDefault="00394F36" w:rsidP="006D42D9">
          <w:pPr>
            <w:rPr>
              <w:rFonts w:ascii="Republika" w:hAnsi="Republika"/>
              <w:sz w:val="60"/>
              <w:szCs w:val="60"/>
              <w:lang w:val="sl-SI"/>
            </w:rPr>
          </w:pPr>
        </w:p>
        <w:p w14:paraId="1033A572" w14:textId="77777777" w:rsidR="00394F36" w:rsidRPr="006D42D9" w:rsidRDefault="00394F36" w:rsidP="006D42D9">
          <w:pPr>
            <w:rPr>
              <w:rFonts w:ascii="Republika" w:hAnsi="Republika"/>
              <w:sz w:val="60"/>
              <w:szCs w:val="60"/>
              <w:lang w:val="sl-SI"/>
            </w:rPr>
          </w:pPr>
        </w:p>
        <w:p w14:paraId="285EBC24" w14:textId="77777777" w:rsidR="00394F36" w:rsidRPr="006D42D9" w:rsidRDefault="00394F36" w:rsidP="006D42D9">
          <w:pPr>
            <w:rPr>
              <w:rFonts w:ascii="Republika" w:hAnsi="Republika"/>
              <w:sz w:val="60"/>
              <w:szCs w:val="60"/>
              <w:lang w:val="sl-SI"/>
            </w:rPr>
          </w:pPr>
        </w:p>
        <w:p w14:paraId="55646D9F" w14:textId="77777777" w:rsidR="00394F36" w:rsidRPr="006D42D9" w:rsidRDefault="00394F36" w:rsidP="006D42D9">
          <w:pPr>
            <w:rPr>
              <w:rFonts w:ascii="Republika" w:hAnsi="Republika"/>
              <w:sz w:val="60"/>
              <w:szCs w:val="60"/>
              <w:lang w:val="sl-SI"/>
            </w:rPr>
          </w:pPr>
        </w:p>
        <w:p w14:paraId="08CE3D9D" w14:textId="77777777" w:rsidR="00394F36" w:rsidRPr="006D42D9" w:rsidRDefault="00394F36" w:rsidP="006D42D9">
          <w:pPr>
            <w:rPr>
              <w:rFonts w:ascii="Republika" w:hAnsi="Republika"/>
              <w:sz w:val="60"/>
              <w:szCs w:val="60"/>
              <w:lang w:val="sl-SI"/>
            </w:rPr>
          </w:pPr>
        </w:p>
        <w:p w14:paraId="6B1E6322" w14:textId="77777777" w:rsidR="00394F36" w:rsidRPr="006D42D9" w:rsidRDefault="00394F36" w:rsidP="006D42D9">
          <w:pPr>
            <w:rPr>
              <w:rFonts w:ascii="Republika" w:hAnsi="Republika"/>
              <w:sz w:val="60"/>
              <w:szCs w:val="60"/>
              <w:lang w:val="sl-SI"/>
            </w:rPr>
          </w:pPr>
        </w:p>
        <w:p w14:paraId="07CE0AE9" w14:textId="77777777" w:rsidR="00394F36" w:rsidRPr="006D42D9" w:rsidRDefault="00394F36" w:rsidP="006D42D9">
          <w:pPr>
            <w:rPr>
              <w:rFonts w:ascii="Republika" w:hAnsi="Republika"/>
              <w:sz w:val="60"/>
              <w:szCs w:val="60"/>
              <w:lang w:val="sl-SI"/>
            </w:rPr>
          </w:pPr>
        </w:p>
        <w:p w14:paraId="0685545B" w14:textId="77777777" w:rsidR="00394F36" w:rsidRPr="006D42D9" w:rsidRDefault="00394F36" w:rsidP="006D42D9">
          <w:pPr>
            <w:rPr>
              <w:rFonts w:ascii="Republika" w:hAnsi="Republika"/>
              <w:sz w:val="60"/>
              <w:szCs w:val="60"/>
              <w:lang w:val="sl-SI"/>
            </w:rPr>
          </w:pPr>
        </w:p>
      </w:tc>
    </w:tr>
  </w:tbl>
  <w:p w14:paraId="152F76B2" w14:textId="77777777" w:rsidR="00902B19" w:rsidRPr="008F3500" w:rsidRDefault="00902B19" w:rsidP="00902B19">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29F34BCF" wp14:editId="75B00B61">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CB2D"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58E94AF4" w14:textId="77777777" w:rsidR="00902B19" w:rsidRPr="008F3500" w:rsidRDefault="00902B19" w:rsidP="00902B19">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8ED46A4" w14:textId="77777777" w:rsidR="00902B19" w:rsidRDefault="00902B19" w:rsidP="00902B19">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11BBA672" w14:textId="77777777" w:rsidR="00902B19" w:rsidRPr="008F3500" w:rsidRDefault="00902B19" w:rsidP="00902B19">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66ED24F9" w14:textId="77777777"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32B06230" w14:textId="77777777"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33B39D56" w14:textId="77777777"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0CA7B42D" w14:textId="77777777" w:rsidR="00394F36" w:rsidRPr="008F3500" w:rsidRDefault="00394F36" w:rsidP="00A23BD1">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35"/>
    <w:multiLevelType w:val="hybridMultilevel"/>
    <w:tmpl w:val="4906F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010D02"/>
    <w:multiLevelType w:val="hybridMultilevel"/>
    <w:tmpl w:val="CC2A0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8BC23900">
      <w:start w:val="1"/>
      <w:numFmt w:val="decimal"/>
      <w:lvlText w:val="%1."/>
      <w:lvlJc w:val="left"/>
      <w:pPr>
        <w:tabs>
          <w:tab w:val="num" w:pos="1080"/>
        </w:tabs>
        <w:ind w:left="1080" w:hanging="360"/>
      </w:pPr>
      <w:rPr>
        <w:rFonts w:hint="default"/>
      </w:rPr>
    </w:lvl>
    <w:lvl w:ilvl="1" w:tplc="113454CA" w:tentative="1">
      <w:start w:val="1"/>
      <w:numFmt w:val="lowerLetter"/>
      <w:lvlText w:val="%2."/>
      <w:lvlJc w:val="left"/>
      <w:pPr>
        <w:ind w:left="1800" w:hanging="360"/>
      </w:pPr>
    </w:lvl>
    <w:lvl w:ilvl="2" w:tplc="20EC85C2" w:tentative="1">
      <w:start w:val="1"/>
      <w:numFmt w:val="lowerRoman"/>
      <w:lvlText w:val="%3."/>
      <w:lvlJc w:val="right"/>
      <w:pPr>
        <w:ind w:left="2520" w:hanging="180"/>
      </w:pPr>
    </w:lvl>
    <w:lvl w:ilvl="3" w:tplc="CA4AFA2C" w:tentative="1">
      <w:start w:val="1"/>
      <w:numFmt w:val="decimal"/>
      <w:lvlText w:val="%4."/>
      <w:lvlJc w:val="left"/>
      <w:pPr>
        <w:ind w:left="3240" w:hanging="360"/>
      </w:pPr>
    </w:lvl>
    <w:lvl w:ilvl="4" w:tplc="FD567830" w:tentative="1">
      <w:start w:val="1"/>
      <w:numFmt w:val="lowerLetter"/>
      <w:lvlText w:val="%5."/>
      <w:lvlJc w:val="left"/>
      <w:pPr>
        <w:ind w:left="3960" w:hanging="360"/>
      </w:pPr>
    </w:lvl>
    <w:lvl w:ilvl="5" w:tplc="547CB204" w:tentative="1">
      <w:start w:val="1"/>
      <w:numFmt w:val="lowerRoman"/>
      <w:lvlText w:val="%6."/>
      <w:lvlJc w:val="right"/>
      <w:pPr>
        <w:ind w:left="4680" w:hanging="180"/>
      </w:pPr>
    </w:lvl>
    <w:lvl w:ilvl="6" w:tplc="F77C1A88" w:tentative="1">
      <w:start w:val="1"/>
      <w:numFmt w:val="decimal"/>
      <w:lvlText w:val="%7."/>
      <w:lvlJc w:val="left"/>
      <w:pPr>
        <w:ind w:left="5400" w:hanging="360"/>
      </w:pPr>
    </w:lvl>
    <w:lvl w:ilvl="7" w:tplc="3FB20DDC" w:tentative="1">
      <w:start w:val="1"/>
      <w:numFmt w:val="lowerLetter"/>
      <w:lvlText w:val="%8."/>
      <w:lvlJc w:val="left"/>
      <w:pPr>
        <w:ind w:left="6120" w:hanging="360"/>
      </w:pPr>
    </w:lvl>
    <w:lvl w:ilvl="8" w:tplc="32C882DC" w:tentative="1">
      <w:start w:val="1"/>
      <w:numFmt w:val="lowerRoman"/>
      <w:lvlText w:val="%9."/>
      <w:lvlJc w:val="right"/>
      <w:pPr>
        <w:ind w:left="6840" w:hanging="180"/>
      </w:pPr>
    </w:lvl>
  </w:abstractNum>
  <w:abstractNum w:abstractNumId="3" w15:restartNumberingAfterBreak="0">
    <w:nsid w:val="0E37191A"/>
    <w:multiLevelType w:val="hybridMultilevel"/>
    <w:tmpl w:val="60F2B4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34DC6684">
      <w:start w:val="1"/>
      <w:numFmt w:val="decimal"/>
      <w:lvlText w:val="%1."/>
      <w:lvlJc w:val="left"/>
      <w:pPr>
        <w:tabs>
          <w:tab w:val="num" w:pos="360"/>
        </w:tabs>
        <w:ind w:left="360" w:hanging="360"/>
      </w:pPr>
      <w:rPr>
        <w:rFonts w:hint="default"/>
      </w:rPr>
    </w:lvl>
    <w:lvl w:ilvl="1" w:tplc="6652E966" w:tentative="1">
      <w:start w:val="1"/>
      <w:numFmt w:val="lowerLetter"/>
      <w:lvlText w:val="%2."/>
      <w:lvlJc w:val="left"/>
      <w:pPr>
        <w:ind w:left="1080" w:hanging="360"/>
      </w:pPr>
    </w:lvl>
    <w:lvl w:ilvl="2" w:tplc="864ED37A" w:tentative="1">
      <w:start w:val="1"/>
      <w:numFmt w:val="lowerRoman"/>
      <w:lvlText w:val="%3."/>
      <w:lvlJc w:val="right"/>
      <w:pPr>
        <w:ind w:left="1800" w:hanging="180"/>
      </w:pPr>
    </w:lvl>
    <w:lvl w:ilvl="3" w:tplc="7CF672E2" w:tentative="1">
      <w:start w:val="1"/>
      <w:numFmt w:val="decimal"/>
      <w:lvlText w:val="%4."/>
      <w:lvlJc w:val="left"/>
      <w:pPr>
        <w:ind w:left="2520" w:hanging="360"/>
      </w:pPr>
    </w:lvl>
    <w:lvl w:ilvl="4" w:tplc="D158C940" w:tentative="1">
      <w:start w:val="1"/>
      <w:numFmt w:val="lowerLetter"/>
      <w:lvlText w:val="%5."/>
      <w:lvlJc w:val="left"/>
      <w:pPr>
        <w:ind w:left="3240" w:hanging="360"/>
      </w:pPr>
    </w:lvl>
    <w:lvl w:ilvl="5" w:tplc="0EBECE92" w:tentative="1">
      <w:start w:val="1"/>
      <w:numFmt w:val="lowerRoman"/>
      <w:lvlText w:val="%6."/>
      <w:lvlJc w:val="right"/>
      <w:pPr>
        <w:ind w:left="3960" w:hanging="180"/>
      </w:pPr>
    </w:lvl>
    <w:lvl w:ilvl="6" w:tplc="401CE330" w:tentative="1">
      <w:start w:val="1"/>
      <w:numFmt w:val="decimal"/>
      <w:lvlText w:val="%7."/>
      <w:lvlJc w:val="left"/>
      <w:pPr>
        <w:ind w:left="4680" w:hanging="360"/>
      </w:pPr>
    </w:lvl>
    <w:lvl w:ilvl="7" w:tplc="58B0BEB2" w:tentative="1">
      <w:start w:val="1"/>
      <w:numFmt w:val="lowerLetter"/>
      <w:lvlText w:val="%8."/>
      <w:lvlJc w:val="left"/>
      <w:pPr>
        <w:ind w:left="5400" w:hanging="360"/>
      </w:pPr>
    </w:lvl>
    <w:lvl w:ilvl="8" w:tplc="6BB80190" w:tentative="1">
      <w:start w:val="1"/>
      <w:numFmt w:val="lowerRoman"/>
      <w:lvlText w:val="%9."/>
      <w:lvlJc w:val="right"/>
      <w:pPr>
        <w:ind w:left="6120" w:hanging="180"/>
      </w:pPr>
    </w:lvl>
  </w:abstractNum>
  <w:abstractNum w:abstractNumId="5" w15:restartNumberingAfterBreak="0">
    <w:nsid w:val="16172CEE"/>
    <w:multiLevelType w:val="hybridMultilevel"/>
    <w:tmpl w:val="D77670DA"/>
    <w:lvl w:ilvl="0" w:tplc="FEF47820">
      <w:start w:val="1000"/>
      <w:numFmt w:val="bullet"/>
      <w:lvlText w:val="-"/>
      <w:lvlJc w:val="left"/>
      <w:pPr>
        <w:ind w:left="360" w:hanging="360"/>
      </w:pPr>
      <w:rPr>
        <w:rFonts w:ascii="Arial" w:eastAsia="Times New Roman" w:hAnsi="Arial" w:cs="Arial" w:hint="default"/>
      </w:rPr>
    </w:lvl>
    <w:lvl w:ilvl="1" w:tplc="08C0F204" w:tentative="1">
      <w:start w:val="1"/>
      <w:numFmt w:val="bullet"/>
      <w:lvlText w:val="o"/>
      <w:lvlJc w:val="left"/>
      <w:pPr>
        <w:ind w:left="1080" w:hanging="360"/>
      </w:pPr>
      <w:rPr>
        <w:rFonts w:ascii="Courier New" w:hAnsi="Courier New" w:cs="Courier New" w:hint="default"/>
      </w:rPr>
    </w:lvl>
    <w:lvl w:ilvl="2" w:tplc="13AC2EDA" w:tentative="1">
      <w:start w:val="1"/>
      <w:numFmt w:val="bullet"/>
      <w:lvlText w:val=""/>
      <w:lvlJc w:val="left"/>
      <w:pPr>
        <w:ind w:left="1800" w:hanging="360"/>
      </w:pPr>
      <w:rPr>
        <w:rFonts w:ascii="Wingdings" w:hAnsi="Wingdings" w:hint="default"/>
      </w:rPr>
    </w:lvl>
    <w:lvl w:ilvl="3" w:tplc="AF62CBB6" w:tentative="1">
      <w:start w:val="1"/>
      <w:numFmt w:val="bullet"/>
      <w:lvlText w:val=""/>
      <w:lvlJc w:val="left"/>
      <w:pPr>
        <w:ind w:left="2520" w:hanging="360"/>
      </w:pPr>
      <w:rPr>
        <w:rFonts w:ascii="Symbol" w:hAnsi="Symbol" w:hint="default"/>
      </w:rPr>
    </w:lvl>
    <w:lvl w:ilvl="4" w:tplc="A4D89E70" w:tentative="1">
      <w:start w:val="1"/>
      <w:numFmt w:val="bullet"/>
      <w:lvlText w:val="o"/>
      <w:lvlJc w:val="left"/>
      <w:pPr>
        <w:ind w:left="3240" w:hanging="360"/>
      </w:pPr>
      <w:rPr>
        <w:rFonts w:ascii="Courier New" w:hAnsi="Courier New" w:cs="Courier New" w:hint="default"/>
      </w:rPr>
    </w:lvl>
    <w:lvl w:ilvl="5" w:tplc="BB729FF0" w:tentative="1">
      <w:start w:val="1"/>
      <w:numFmt w:val="bullet"/>
      <w:lvlText w:val=""/>
      <w:lvlJc w:val="left"/>
      <w:pPr>
        <w:ind w:left="3960" w:hanging="360"/>
      </w:pPr>
      <w:rPr>
        <w:rFonts w:ascii="Wingdings" w:hAnsi="Wingdings" w:hint="default"/>
      </w:rPr>
    </w:lvl>
    <w:lvl w:ilvl="6" w:tplc="3A6A56A8" w:tentative="1">
      <w:start w:val="1"/>
      <w:numFmt w:val="bullet"/>
      <w:lvlText w:val=""/>
      <w:lvlJc w:val="left"/>
      <w:pPr>
        <w:ind w:left="4680" w:hanging="360"/>
      </w:pPr>
      <w:rPr>
        <w:rFonts w:ascii="Symbol" w:hAnsi="Symbol" w:hint="default"/>
      </w:rPr>
    </w:lvl>
    <w:lvl w:ilvl="7" w:tplc="C7C086B6" w:tentative="1">
      <w:start w:val="1"/>
      <w:numFmt w:val="bullet"/>
      <w:lvlText w:val="o"/>
      <w:lvlJc w:val="left"/>
      <w:pPr>
        <w:ind w:left="5400" w:hanging="360"/>
      </w:pPr>
      <w:rPr>
        <w:rFonts w:ascii="Courier New" w:hAnsi="Courier New" w:cs="Courier New" w:hint="default"/>
      </w:rPr>
    </w:lvl>
    <w:lvl w:ilvl="8" w:tplc="99F24D72" w:tentative="1">
      <w:start w:val="1"/>
      <w:numFmt w:val="bullet"/>
      <w:lvlText w:val=""/>
      <w:lvlJc w:val="left"/>
      <w:pPr>
        <w:ind w:left="6120" w:hanging="360"/>
      </w:pPr>
      <w:rPr>
        <w:rFonts w:ascii="Wingdings" w:hAnsi="Wingdings" w:hint="default"/>
      </w:rPr>
    </w:lvl>
  </w:abstractNum>
  <w:abstractNum w:abstractNumId="6" w15:restartNumberingAfterBreak="0">
    <w:nsid w:val="16544F39"/>
    <w:multiLevelType w:val="hybridMultilevel"/>
    <w:tmpl w:val="76864C8A"/>
    <w:lvl w:ilvl="0" w:tplc="46EE870E">
      <w:start w:val="1"/>
      <w:numFmt w:val="bullet"/>
      <w:lvlText w:val="-"/>
      <w:lvlJc w:val="left"/>
      <w:pPr>
        <w:ind w:left="1068" w:hanging="360"/>
      </w:pPr>
      <w:rPr>
        <w:rFonts w:ascii="Calibri" w:eastAsiaTheme="minorHAnsi" w:hAnsi="Calibri" w:cstheme="minorBid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 w15:restartNumberingAfterBreak="0">
    <w:nsid w:val="17123DAF"/>
    <w:multiLevelType w:val="hybridMultilevel"/>
    <w:tmpl w:val="25B4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F721F7"/>
    <w:multiLevelType w:val="hybridMultilevel"/>
    <w:tmpl w:val="4E521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0F0A8C"/>
    <w:multiLevelType w:val="hybridMultilevel"/>
    <w:tmpl w:val="B4687750"/>
    <w:lvl w:ilvl="0" w:tplc="46EE870E">
      <w:start w:val="1"/>
      <w:numFmt w:val="bullet"/>
      <w:lvlText w:val="-"/>
      <w:lvlJc w:val="left"/>
      <w:pPr>
        <w:ind w:left="1428" w:hanging="360"/>
      </w:pPr>
      <w:rPr>
        <w:rFonts w:ascii="Calibri" w:eastAsiaTheme="minorHAnsi" w:hAnsi="Calibri" w:cstheme="minorBidi"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0" w15:restartNumberingAfterBreak="0">
    <w:nsid w:val="260E336B"/>
    <w:multiLevelType w:val="hybridMultilevel"/>
    <w:tmpl w:val="9238D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AD4883"/>
    <w:multiLevelType w:val="multilevel"/>
    <w:tmpl w:val="2F565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072372"/>
    <w:multiLevelType w:val="hybridMultilevel"/>
    <w:tmpl w:val="94FE8146"/>
    <w:lvl w:ilvl="0" w:tplc="BD1EBED0">
      <w:start w:val="1"/>
      <w:numFmt w:val="decimal"/>
      <w:lvlText w:val="%1."/>
      <w:lvlJc w:val="left"/>
      <w:pPr>
        <w:tabs>
          <w:tab w:val="num" w:pos="720"/>
        </w:tabs>
        <w:ind w:left="720" w:hanging="360"/>
      </w:pPr>
      <w:rPr>
        <w:rFonts w:hint="default"/>
      </w:rPr>
    </w:lvl>
    <w:lvl w:ilvl="1" w:tplc="C20CDFDA" w:tentative="1">
      <w:start w:val="1"/>
      <w:numFmt w:val="lowerLetter"/>
      <w:lvlText w:val="%2."/>
      <w:lvlJc w:val="left"/>
      <w:pPr>
        <w:tabs>
          <w:tab w:val="num" w:pos="1440"/>
        </w:tabs>
        <w:ind w:left="1440" w:hanging="360"/>
      </w:pPr>
    </w:lvl>
    <w:lvl w:ilvl="2" w:tplc="414A0952" w:tentative="1">
      <w:start w:val="1"/>
      <w:numFmt w:val="lowerRoman"/>
      <w:lvlText w:val="%3."/>
      <w:lvlJc w:val="right"/>
      <w:pPr>
        <w:tabs>
          <w:tab w:val="num" w:pos="2160"/>
        </w:tabs>
        <w:ind w:left="2160" w:hanging="180"/>
      </w:pPr>
    </w:lvl>
    <w:lvl w:ilvl="3" w:tplc="1278DA6A" w:tentative="1">
      <w:start w:val="1"/>
      <w:numFmt w:val="decimal"/>
      <w:lvlText w:val="%4."/>
      <w:lvlJc w:val="left"/>
      <w:pPr>
        <w:tabs>
          <w:tab w:val="num" w:pos="2880"/>
        </w:tabs>
        <w:ind w:left="2880" w:hanging="360"/>
      </w:pPr>
    </w:lvl>
    <w:lvl w:ilvl="4" w:tplc="90AC803A" w:tentative="1">
      <w:start w:val="1"/>
      <w:numFmt w:val="lowerLetter"/>
      <w:lvlText w:val="%5."/>
      <w:lvlJc w:val="left"/>
      <w:pPr>
        <w:tabs>
          <w:tab w:val="num" w:pos="3600"/>
        </w:tabs>
        <w:ind w:left="3600" w:hanging="360"/>
      </w:pPr>
    </w:lvl>
    <w:lvl w:ilvl="5" w:tplc="9536A81A" w:tentative="1">
      <w:start w:val="1"/>
      <w:numFmt w:val="lowerRoman"/>
      <w:lvlText w:val="%6."/>
      <w:lvlJc w:val="right"/>
      <w:pPr>
        <w:tabs>
          <w:tab w:val="num" w:pos="4320"/>
        </w:tabs>
        <w:ind w:left="4320" w:hanging="180"/>
      </w:pPr>
    </w:lvl>
    <w:lvl w:ilvl="6" w:tplc="A2A05C32" w:tentative="1">
      <w:start w:val="1"/>
      <w:numFmt w:val="decimal"/>
      <w:lvlText w:val="%7."/>
      <w:lvlJc w:val="left"/>
      <w:pPr>
        <w:tabs>
          <w:tab w:val="num" w:pos="5040"/>
        </w:tabs>
        <w:ind w:left="5040" w:hanging="360"/>
      </w:pPr>
    </w:lvl>
    <w:lvl w:ilvl="7" w:tplc="74F68924" w:tentative="1">
      <w:start w:val="1"/>
      <w:numFmt w:val="lowerLetter"/>
      <w:lvlText w:val="%8."/>
      <w:lvlJc w:val="left"/>
      <w:pPr>
        <w:tabs>
          <w:tab w:val="num" w:pos="5760"/>
        </w:tabs>
        <w:ind w:left="5760" w:hanging="360"/>
      </w:pPr>
    </w:lvl>
    <w:lvl w:ilvl="8" w:tplc="CA744098" w:tentative="1">
      <w:start w:val="1"/>
      <w:numFmt w:val="lowerRoman"/>
      <w:lvlText w:val="%9."/>
      <w:lvlJc w:val="right"/>
      <w:pPr>
        <w:tabs>
          <w:tab w:val="num" w:pos="6480"/>
        </w:tabs>
        <w:ind w:left="6480" w:hanging="180"/>
      </w:pPr>
    </w:lvl>
  </w:abstractNum>
  <w:abstractNum w:abstractNumId="13" w15:restartNumberingAfterBreak="0">
    <w:nsid w:val="35096285"/>
    <w:multiLevelType w:val="hybridMultilevel"/>
    <w:tmpl w:val="98A6B078"/>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9535451"/>
    <w:multiLevelType w:val="hybridMultilevel"/>
    <w:tmpl w:val="EEE2F0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CD21CA"/>
    <w:multiLevelType w:val="hybridMultilevel"/>
    <w:tmpl w:val="B60ED466"/>
    <w:lvl w:ilvl="0" w:tplc="128035D6">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644AF6"/>
    <w:multiLevelType w:val="hybridMultilevel"/>
    <w:tmpl w:val="4ACAA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C15D5E"/>
    <w:multiLevelType w:val="hybridMultilevel"/>
    <w:tmpl w:val="75AA94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6C56A9"/>
    <w:multiLevelType w:val="hybridMultilevel"/>
    <w:tmpl w:val="AC140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E4BA420E">
      <w:start w:val="1"/>
      <w:numFmt w:val="decimal"/>
      <w:lvlText w:val="%1."/>
      <w:lvlJc w:val="left"/>
      <w:pPr>
        <w:tabs>
          <w:tab w:val="num" w:pos="720"/>
        </w:tabs>
        <w:ind w:left="720" w:hanging="360"/>
      </w:pPr>
    </w:lvl>
    <w:lvl w:ilvl="1" w:tplc="7B5E5EEC" w:tentative="1">
      <w:start w:val="1"/>
      <w:numFmt w:val="lowerLetter"/>
      <w:lvlText w:val="%2."/>
      <w:lvlJc w:val="left"/>
      <w:pPr>
        <w:tabs>
          <w:tab w:val="num" w:pos="1440"/>
        </w:tabs>
        <w:ind w:left="1440" w:hanging="360"/>
      </w:pPr>
    </w:lvl>
    <w:lvl w:ilvl="2" w:tplc="F76A2854" w:tentative="1">
      <w:start w:val="1"/>
      <w:numFmt w:val="lowerRoman"/>
      <w:lvlText w:val="%3."/>
      <w:lvlJc w:val="right"/>
      <w:pPr>
        <w:tabs>
          <w:tab w:val="num" w:pos="2160"/>
        </w:tabs>
        <w:ind w:left="2160" w:hanging="180"/>
      </w:pPr>
    </w:lvl>
    <w:lvl w:ilvl="3" w:tplc="8766BC30" w:tentative="1">
      <w:start w:val="1"/>
      <w:numFmt w:val="decimal"/>
      <w:lvlText w:val="%4."/>
      <w:lvlJc w:val="left"/>
      <w:pPr>
        <w:tabs>
          <w:tab w:val="num" w:pos="2880"/>
        </w:tabs>
        <w:ind w:left="2880" w:hanging="360"/>
      </w:pPr>
    </w:lvl>
    <w:lvl w:ilvl="4" w:tplc="27FAF258" w:tentative="1">
      <w:start w:val="1"/>
      <w:numFmt w:val="lowerLetter"/>
      <w:lvlText w:val="%5."/>
      <w:lvlJc w:val="left"/>
      <w:pPr>
        <w:tabs>
          <w:tab w:val="num" w:pos="3600"/>
        </w:tabs>
        <w:ind w:left="3600" w:hanging="360"/>
      </w:pPr>
    </w:lvl>
    <w:lvl w:ilvl="5" w:tplc="C5C474DC" w:tentative="1">
      <w:start w:val="1"/>
      <w:numFmt w:val="lowerRoman"/>
      <w:lvlText w:val="%6."/>
      <w:lvlJc w:val="right"/>
      <w:pPr>
        <w:tabs>
          <w:tab w:val="num" w:pos="4320"/>
        </w:tabs>
        <w:ind w:left="4320" w:hanging="180"/>
      </w:pPr>
    </w:lvl>
    <w:lvl w:ilvl="6" w:tplc="B01CD40A" w:tentative="1">
      <w:start w:val="1"/>
      <w:numFmt w:val="decimal"/>
      <w:lvlText w:val="%7."/>
      <w:lvlJc w:val="left"/>
      <w:pPr>
        <w:tabs>
          <w:tab w:val="num" w:pos="5040"/>
        </w:tabs>
        <w:ind w:left="5040" w:hanging="360"/>
      </w:pPr>
    </w:lvl>
    <w:lvl w:ilvl="7" w:tplc="1CDA5384" w:tentative="1">
      <w:start w:val="1"/>
      <w:numFmt w:val="lowerLetter"/>
      <w:lvlText w:val="%8."/>
      <w:lvlJc w:val="left"/>
      <w:pPr>
        <w:tabs>
          <w:tab w:val="num" w:pos="5760"/>
        </w:tabs>
        <w:ind w:left="5760" w:hanging="360"/>
      </w:pPr>
    </w:lvl>
    <w:lvl w:ilvl="8" w:tplc="5B30A856" w:tentative="1">
      <w:start w:val="1"/>
      <w:numFmt w:val="lowerRoman"/>
      <w:lvlText w:val="%9."/>
      <w:lvlJc w:val="right"/>
      <w:pPr>
        <w:tabs>
          <w:tab w:val="num" w:pos="6480"/>
        </w:tabs>
        <w:ind w:left="6480" w:hanging="180"/>
      </w:pPr>
    </w:lvl>
  </w:abstractNum>
  <w:abstractNum w:abstractNumId="21" w15:restartNumberingAfterBreak="0">
    <w:nsid w:val="6EFA2E9F"/>
    <w:multiLevelType w:val="hybridMultilevel"/>
    <w:tmpl w:val="8AC05DC2"/>
    <w:lvl w:ilvl="0" w:tplc="BE8E02B6">
      <w:start w:val="1"/>
      <w:numFmt w:val="bullet"/>
      <w:lvlText w:val="­"/>
      <w:lvlJc w:val="left"/>
      <w:pPr>
        <w:ind w:left="1440" w:hanging="360"/>
      </w:pPr>
      <w:rPr>
        <w:rFonts w:ascii="Courier New" w:hAnsi="Courier Ne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2" w15:restartNumberingAfterBreak="0">
    <w:nsid w:val="709B2E6A"/>
    <w:multiLevelType w:val="hybridMultilevel"/>
    <w:tmpl w:val="BDEEC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951423"/>
    <w:multiLevelType w:val="hybridMultilevel"/>
    <w:tmpl w:val="6BC01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8FD55DE"/>
    <w:multiLevelType w:val="hybridMultilevel"/>
    <w:tmpl w:val="E632927E"/>
    <w:lvl w:ilvl="0" w:tplc="A16641BA">
      <w:start w:val="1"/>
      <w:numFmt w:val="bullet"/>
      <w:lvlText w:val=""/>
      <w:lvlJc w:val="left"/>
      <w:pPr>
        <w:ind w:left="720" w:hanging="360"/>
      </w:pPr>
      <w:rPr>
        <w:rFonts w:ascii="Symbol" w:hAnsi="Symbol" w:hint="default"/>
      </w:rPr>
    </w:lvl>
    <w:lvl w:ilvl="1" w:tplc="E16ED486" w:tentative="1">
      <w:start w:val="1"/>
      <w:numFmt w:val="bullet"/>
      <w:lvlText w:val="o"/>
      <w:lvlJc w:val="left"/>
      <w:pPr>
        <w:ind w:left="1440" w:hanging="360"/>
      </w:pPr>
      <w:rPr>
        <w:rFonts w:ascii="Courier New" w:hAnsi="Courier New" w:cs="Courier New" w:hint="default"/>
      </w:rPr>
    </w:lvl>
    <w:lvl w:ilvl="2" w:tplc="CB527D0E" w:tentative="1">
      <w:start w:val="1"/>
      <w:numFmt w:val="bullet"/>
      <w:lvlText w:val=""/>
      <w:lvlJc w:val="left"/>
      <w:pPr>
        <w:ind w:left="2160" w:hanging="360"/>
      </w:pPr>
      <w:rPr>
        <w:rFonts w:ascii="Wingdings" w:hAnsi="Wingdings" w:hint="default"/>
      </w:rPr>
    </w:lvl>
    <w:lvl w:ilvl="3" w:tplc="0E58A6A4" w:tentative="1">
      <w:start w:val="1"/>
      <w:numFmt w:val="bullet"/>
      <w:lvlText w:val=""/>
      <w:lvlJc w:val="left"/>
      <w:pPr>
        <w:ind w:left="2880" w:hanging="360"/>
      </w:pPr>
      <w:rPr>
        <w:rFonts w:ascii="Symbol" w:hAnsi="Symbol" w:hint="default"/>
      </w:rPr>
    </w:lvl>
    <w:lvl w:ilvl="4" w:tplc="6E46FD40" w:tentative="1">
      <w:start w:val="1"/>
      <w:numFmt w:val="bullet"/>
      <w:lvlText w:val="o"/>
      <w:lvlJc w:val="left"/>
      <w:pPr>
        <w:ind w:left="3600" w:hanging="360"/>
      </w:pPr>
      <w:rPr>
        <w:rFonts w:ascii="Courier New" w:hAnsi="Courier New" w:cs="Courier New" w:hint="default"/>
      </w:rPr>
    </w:lvl>
    <w:lvl w:ilvl="5" w:tplc="19E26170" w:tentative="1">
      <w:start w:val="1"/>
      <w:numFmt w:val="bullet"/>
      <w:lvlText w:val=""/>
      <w:lvlJc w:val="left"/>
      <w:pPr>
        <w:ind w:left="4320" w:hanging="360"/>
      </w:pPr>
      <w:rPr>
        <w:rFonts w:ascii="Wingdings" w:hAnsi="Wingdings" w:hint="default"/>
      </w:rPr>
    </w:lvl>
    <w:lvl w:ilvl="6" w:tplc="5BD69E00" w:tentative="1">
      <w:start w:val="1"/>
      <w:numFmt w:val="bullet"/>
      <w:lvlText w:val=""/>
      <w:lvlJc w:val="left"/>
      <w:pPr>
        <w:ind w:left="5040" w:hanging="360"/>
      </w:pPr>
      <w:rPr>
        <w:rFonts w:ascii="Symbol" w:hAnsi="Symbol" w:hint="default"/>
      </w:rPr>
    </w:lvl>
    <w:lvl w:ilvl="7" w:tplc="0400C992" w:tentative="1">
      <w:start w:val="1"/>
      <w:numFmt w:val="bullet"/>
      <w:lvlText w:val="o"/>
      <w:lvlJc w:val="left"/>
      <w:pPr>
        <w:ind w:left="5760" w:hanging="360"/>
      </w:pPr>
      <w:rPr>
        <w:rFonts w:ascii="Courier New" w:hAnsi="Courier New" w:cs="Courier New" w:hint="default"/>
      </w:rPr>
    </w:lvl>
    <w:lvl w:ilvl="8" w:tplc="6A408C76" w:tentative="1">
      <w:start w:val="1"/>
      <w:numFmt w:val="bullet"/>
      <w:lvlText w:val=""/>
      <w:lvlJc w:val="left"/>
      <w:pPr>
        <w:ind w:left="6480" w:hanging="360"/>
      </w:pPr>
      <w:rPr>
        <w:rFonts w:ascii="Wingdings" w:hAnsi="Wingdings" w:hint="default"/>
      </w:rPr>
    </w:lvl>
  </w:abstractNum>
  <w:abstractNum w:abstractNumId="25" w15:restartNumberingAfterBreak="0">
    <w:nsid w:val="7BF52BED"/>
    <w:multiLevelType w:val="hybridMultilevel"/>
    <w:tmpl w:val="AD948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013985"/>
    <w:multiLevelType w:val="hybridMultilevel"/>
    <w:tmpl w:val="6DE8F908"/>
    <w:lvl w:ilvl="0" w:tplc="57E0B89A">
      <w:numFmt w:val="bullet"/>
      <w:lvlText w:val="-"/>
      <w:lvlJc w:val="left"/>
      <w:pPr>
        <w:ind w:left="785" w:hanging="425"/>
      </w:pPr>
      <w:rPr>
        <w:rFonts w:ascii="Arial" w:eastAsia="Times New Roman" w:hAnsi="Arial" w:cs="Arial" w:hint="default"/>
      </w:rPr>
    </w:lvl>
    <w:lvl w:ilvl="1" w:tplc="94502A90" w:tentative="1">
      <w:start w:val="1"/>
      <w:numFmt w:val="bullet"/>
      <w:lvlText w:val="o"/>
      <w:lvlJc w:val="left"/>
      <w:pPr>
        <w:ind w:left="1440" w:hanging="360"/>
      </w:pPr>
      <w:rPr>
        <w:rFonts w:ascii="Courier New" w:hAnsi="Courier New" w:cs="Courier New" w:hint="default"/>
      </w:rPr>
    </w:lvl>
    <w:lvl w:ilvl="2" w:tplc="402084F4" w:tentative="1">
      <w:start w:val="1"/>
      <w:numFmt w:val="bullet"/>
      <w:lvlText w:val=""/>
      <w:lvlJc w:val="left"/>
      <w:pPr>
        <w:ind w:left="2160" w:hanging="360"/>
      </w:pPr>
      <w:rPr>
        <w:rFonts w:ascii="Wingdings" w:hAnsi="Wingdings" w:hint="default"/>
      </w:rPr>
    </w:lvl>
    <w:lvl w:ilvl="3" w:tplc="10169F0E" w:tentative="1">
      <w:start w:val="1"/>
      <w:numFmt w:val="bullet"/>
      <w:lvlText w:val=""/>
      <w:lvlJc w:val="left"/>
      <w:pPr>
        <w:ind w:left="2880" w:hanging="360"/>
      </w:pPr>
      <w:rPr>
        <w:rFonts w:ascii="Symbol" w:hAnsi="Symbol" w:hint="default"/>
      </w:rPr>
    </w:lvl>
    <w:lvl w:ilvl="4" w:tplc="70D4F44C" w:tentative="1">
      <w:start w:val="1"/>
      <w:numFmt w:val="bullet"/>
      <w:lvlText w:val="o"/>
      <w:lvlJc w:val="left"/>
      <w:pPr>
        <w:ind w:left="3600" w:hanging="360"/>
      </w:pPr>
      <w:rPr>
        <w:rFonts w:ascii="Courier New" w:hAnsi="Courier New" w:cs="Courier New" w:hint="default"/>
      </w:rPr>
    </w:lvl>
    <w:lvl w:ilvl="5" w:tplc="94BA3A1E" w:tentative="1">
      <w:start w:val="1"/>
      <w:numFmt w:val="bullet"/>
      <w:lvlText w:val=""/>
      <w:lvlJc w:val="left"/>
      <w:pPr>
        <w:ind w:left="4320" w:hanging="360"/>
      </w:pPr>
      <w:rPr>
        <w:rFonts w:ascii="Wingdings" w:hAnsi="Wingdings" w:hint="default"/>
      </w:rPr>
    </w:lvl>
    <w:lvl w:ilvl="6" w:tplc="0E9480CE" w:tentative="1">
      <w:start w:val="1"/>
      <w:numFmt w:val="bullet"/>
      <w:lvlText w:val=""/>
      <w:lvlJc w:val="left"/>
      <w:pPr>
        <w:ind w:left="5040" w:hanging="360"/>
      </w:pPr>
      <w:rPr>
        <w:rFonts w:ascii="Symbol" w:hAnsi="Symbol" w:hint="default"/>
      </w:rPr>
    </w:lvl>
    <w:lvl w:ilvl="7" w:tplc="E29E6B52" w:tentative="1">
      <w:start w:val="1"/>
      <w:numFmt w:val="bullet"/>
      <w:lvlText w:val="o"/>
      <w:lvlJc w:val="left"/>
      <w:pPr>
        <w:ind w:left="5760" w:hanging="360"/>
      </w:pPr>
      <w:rPr>
        <w:rFonts w:ascii="Courier New" w:hAnsi="Courier New" w:cs="Courier New" w:hint="default"/>
      </w:rPr>
    </w:lvl>
    <w:lvl w:ilvl="8" w:tplc="811A2100" w:tentative="1">
      <w:start w:val="1"/>
      <w:numFmt w:val="bullet"/>
      <w:lvlText w:val=""/>
      <w:lvlJc w:val="left"/>
      <w:pPr>
        <w:ind w:left="6480" w:hanging="360"/>
      </w:pPr>
      <w:rPr>
        <w:rFonts w:ascii="Wingdings" w:hAnsi="Wingdings" w:hint="default"/>
      </w:rPr>
    </w:lvl>
  </w:abstractNum>
  <w:num w:numId="1" w16cid:durableId="1567716294">
    <w:abstractNumId w:val="20"/>
  </w:num>
  <w:num w:numId="2" w16cid:durableId="688064347">
    <w:abstractNumId w:val="12"/>
  </w:num>
  <w:num w:numId="3" w16cid:durableId="877593295">
    <w:abstractNumId w:val="15"/>
  </w:num>
  <w:num w:numId="4" w16cid:durableId="278342763">
    <w:abstractNumId w:val="2"/>
  </w:num>
  <w:num w:numId="5" w16cid:durableId="1399548269">
    <w:abstractNumId w:val="4"/>
  </w:num>
  <w:num w:numId="6" w16cid:durableId="2063674122">
    <w:abstractNumId w:val="5"/>
  </w:num>
  <w:num w:numId="7" w16cid:durableId="774521768">
    <w:abstractNumId w:val="26"/>
  </w:num>
  <w:num w:numId="8" w16cid:durableId="1530414131">
    <w:abstractNumId w:val="24"/>
  </w:num>
  <w:num w:numId="9" w16cid:durableId="1363627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082259">
    <w:abstractNumId w:val="21"/>
  </w:num>
  <w:num w:numId="11" w16cid:durableId="1346051711">
    <w:abstractNumId w:val="6"/>
  </w:num>
  <w:num w:numId="12" w16cid:durableId="966473151">
    <w:abstractNumId w:val="9"/>
  </w:num>
  <w:num w:numId="13" w16cid:durableId="1611467587">
    <w:abstractNumId w:val="14"/>
  </w:num>
  <w:num w:numId="14" w16cid:durableId="1828352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81822">
    <w:abstractNumId w:val="13"/>
  </w:num>
  <w:num w:numId="16" w16cid:durableId="398524889">
    <w:abstractNumId w:val="7"/>
  </w:num>
  <w:num w:numId="17" w16cid:durableId="1038166139">
    <w:abstractNumId w:val="1"/>
  </w:num>
  <w:num w:numId="18" w16cid:durableId="1694188615">
    <w:abstractNumId w:val="25"/>
  </w:num>
  <w:num w:numId="19" w16cid:durableId="1401951580">
    <w:abstractNumId w:val="8"/>
  </w:num>
  <w:num w:numId="20" w16cid:durableId="935137798">
    <w:abstractNumId w:val="17"/>
  </w:num>
  <w:num w:numId="21" w16cid:durableId="1993023650">
    <w:abstractNumId w:val="10"/>
  </w:num>
  <w:num w:numId="22" w16cid:durableId="203520964">
    <w:abstractNumId w:val="16"/>
  </w:num>
  <w:num w:numId="23" w16cid:durableId="354037029">
    <w:abstractNumId w:val="0"/>
  </w:num>
  <w:num w:numId="24" w16cid:durableId="1282296503">
    <w:abstractNumId w:val="19"/>
  </w:num>
  <w:num w:numId="25" w16cid:durableId="850339812">
    <w:abstractNumId w:val="3"/>
  </w:num>
  <w:num w:numId="26" w16cid:durableId="1110707445">
    <w:abstractNumId w:val="23"/>
  </w:num>
  <w:num w:numId="27" w16cid:durableId="1308707958">
    <w:abstractNumId w:val="22"/>
  </w:num>
  <w:num w:numId="28" w16cid:durableId="311713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17594"/>
    <w:rsid w:val="000206AE"/>
    <w:rsid w:val="00023A88"/>
    <w:rsid w:val="000636E1"/>
    <w:rsid w:val="0008352D"/>
    <w:rsid w:val="000A07CE"/>
    <w:rsid w:val="000A2C92"/>
    <w:rsid w:val="000A7238"/>
    <w:rsid w:val="000B0B21"/>
    <w:rsid w:val="000D08A9"/>
    <w:rsid w:val="000F054D"/>
    <w:rsid w:val="000F3A88"/>
    <w:rsid w:val="000F3D38"/>
    <w:rsid w:val="00110CBD"/>
    <w:rsid w:val="001321F2"/>
    <w:rsid w:val="001357B2"/>
    <w:rsid w:val="0014435E"/>
    <w:rsid w:val="00151388"/>
    <w:rsid w:val="00151872"/>
    <w:rsid w:val="00160E5F"/>
    <w:rsid w:val="00161B24"/>
    <w:rsid w:val="0016711A"/>
    <w:rsid w:val="0019178A"/>
    <w:rsid w:val="001A3BA5"/>
    <w:rsid w:val="001A487C"/>
    <w:rsid w:val="001F3B21"/>
    <w:rsid w:val="001F4206"/>
    <w:rsid w:val="001F656C"/>
    <w:rsid w:val="001F7BC0"/>
    <w:rsid w:val="00202A77"/>
    <w:rsid w:val="00230AA8"/>
    <w:rsid w:val="00232E47"/>
    <w:rsid w:val="002411D8"/>
    <w:rsid w:val="00253798"/>
    <w:rsid w:val="00261D99"/>
    <w:rsid w:val="002628E0"/>
    <w:rsid w:val="00262960"/>
    <w:rsid w:val="00271CE5"/>
    <w:rsid w:val="00282020"/>
    <w:rsid w:val="00285890"/>
    <w:rsid w:val="002934F1"/>
    <w:rsid w:val="00296D93"/>
    <w:rsid w:val="002A4B44"/>
    <w:rsid w:val="002C0F39"/>
    <w:rsid w:val="002C7EEB"/>
    <w:rsid w:val="002E19B0"/>
    <w:rsid w:val="00304726"/>
    <w:rsid w:val="00315D82"/>
    <w:rsid w:val="00346536"/>
    <w:rsid w:val="00352109"/>
    <w:rsid w:val="003636BF"/>
    <w:rsid w:val="00370AA7"/>
    <w:rsid w:val="00371034"/>
    <w:rsid w:val="0037479F"/>
    <w:rsid w:val="00377950"/>
    <w:rsid w:val="003845B4"/>
    <w:rsid w:val="00387B1A"/>
    <w:rsid w:val="003900F8"/>
    <w:rsid w:val="00394F36"/>
    <w:rsid w:val="003B5CF4"/>
    <w:rsid w:val="003C3B1D"/>
    <w:rsid w:val="003C4EAF"/>
    <w:rsid w:val="003D0306"/>
    <w:rsid w:val="003E1C74"/>
    <w:rsid w:val="003E7E9E"/>
    <w:rsid w:val="003F4966"/>
    <w:rsid w:val="004235E5"/>
    <w:rsid w:val="00430AF0"/>
    <w:rsid w:val="00484A06"/>
    <w:rsid w:val="004A2490"/>
    <w:rsid w:val="004A4233"/>
    <w:rsid w:val="004A6A59"/>
    <w:rsid w:val="004B160E"/>
    <w:rsid w:val="004D294C"/>
    <w:rsid w:val="004D4D4F"/>
    <w:rsid w:val="004F20AC"/>
    <w:rsid w:val="005149DF"/>
    <w:rsid w:val="0052142D"/>
    <w:rsid w:val="00525C18"/>
    <w:rsid w:val="00526246"/>
    <w:rsid w:val="00567106"/>
    <w:rsid w:val="005709F2"/>
    <w:rsid w:val="005916E5"/>
    <w:rsid w:val="005A086E"/>
    <w:rsid w:val="005B0438"/>
    <w:rsid w:val="005C538C"/>
    <w:rsid w:val="005E1D3C"/>
    <w:rsid w:val="00621B8B"/>
    <w:rsid w:val="006268BE"/>
    <w:rsid w:val="00632253"/>
    <w:rsid w:val="00642714"/>
    <w:rsid w:val="00643C4E"/>
    <w:rsid w:val="006455CE"/>
    <w:rsid w:val="00657523"/>
    <w:rsid w:val="006D42D9"/>
    <w:rsid w:val="006F142E"/>
    <w:rsid w:val="00726463"/>
    <w:rsid w:val="00733017"/>
    <w:rsid w:val="00751D38"/>
    <w:rsid w:val="00751E49"/>
    <w:rsid w:val="0076242F"/>
    <w:rsid w:val="00775FED"/>
    <w:rsid w:val="00783310"/>
    <w:rsid w:val="00794E63"/>
    <w:rsid w:val="007A4A6D"/>
    <w:rsid w:val="007D1BCF"/>
    <w:rsid w:val="007D75CF"/>
    <w:rsid w:val="007E6DC5"/>
    <w:rsid w:val="008302A0"/>
    <w:rsid w:val="008547AC"/>
    <w:rsid w:val="00873B7D"/>
    <w:rsid w:val="0088043C"/>
    <w:rsid w:val="008906C9"/>
    <w:rsid w:val="008A40D1"/>
    <w:rsid w:val="008A5918"/>
    <w:rsid w:val="008B2E72"/>
    <w:rsid w:val="008C00F2"/>
    <w:rsid w:val="008C5738"/>
    <w:rsid w:val="008D04F0"/>
    <w:rsid w:val="008D1E9D"/>
    <w:rsid w:val="008F3500"/>
    <w:rsid w:val="009022B3"/>
    <w:rsid w:val="00902B19"/>
    <w:rsid w:val="00924E3C"/>
    <w:rsid w:val="00925A8B"/>
    <w:rsid w:val="009612BB"/>
    <w:rsid w:val="00980FFA"/>
    <w:rsid w:val="009B0295"/>
    <w:rsid w:val="009C5340"/>
    <w:rsid w:val="009E42F2"/>
    <w:rsid w:val="009E4C9F"/>
    <w:rsid w:val="00A05DC7"/>
    <w:rsid w:val="00A125C5"/>
    <w:rsid w:val="00A12D5C"/>
    <w:rsid w:val="00A216AF"/>
    <w:rsid w:val="00A23BD1"/>
    <w:rsid w:val="00A30B15"/>
    <w:rsid w:val="00A3267F"/>
    <w:rsid w:val="00A36906"/>
    <w:rsid w:val="00A45EAF"/>
    <w:rsid w:val="00A468C5"/>
    <w:rsid w:val="00A5039D"/>
    <w:rsid w:val="00A65EE7"/>
    <w:rsid w:val="00A70133"/>
    <w:rsid w:val="00A72510"/>
    <w:rsid w:val="00A8325D"/>
    <w:rsid w:val="00AA47FE"/>
    <w:rsid w:val="00AA73D8"/>
    <w:rsid w:val="00AC5C16"/>
    <w:rsid w:val="00AD2424"/>
    <w:rsid w:val="00AD5A5B"/>
    <w:rsid w:val="00AE1792"/>
    <w:rsid w:val="00B011EA"/>
    <w:rsid w:val="00B04909"/>
    <w:rsid w:val="00B17141"/>
    <w:rsid w:val="00B31575"/>
    <w:rsid w:val="00B45563"/>
    <w:rsid w:val="00B63BD4"/>
    <w:rsid w:val="00B677B6"/>
    <w:rsid w:val="00B8547D"/>
    <w:rsid w:val="00BC2517"/>
    <w:rsid w:val="00BC61EF"/>
    <w:rsid w:val="00BD1BEB"/>
    <w:rsid w:val="00BE423F"/>
    <w:rsid w:val="00BF1B3B"/>
    <w:rsid w:val="00C250D5"/>
    <w:rsid w:val="00C47F8D"/>
    <w:rsid w:val="00C52DAE"/>
    <w:rsid w:val="00C57EED"/>
    <w:rsid w:val="00C72FC2"/>
    <w:rsid w:val="00C81391"/>
    <w:rsid w:val="00C84981"/>
    <w:rsid w:val="00C92898"/>
    <w:rsid w:val="00C97222"/>
    <w:rsid w:val="00CC7BC5"/>
    <w:rsid w:val="00CE7514"/>
    <w:rsid w:val="00D058E5"/>
    <w:rsid w:val="00D145F7"/>
    <w:rsid w:val="00D248DE"/>
    <w:rsid w:val="00D25427"/>
    <w:rsid w:val="00D31B74"/>
    <w:rsid w:val="00D3564D"/>
    <w:rsid w:val="00D8542D"/>
    <w:rsid w:val="00DB11E1"/>
    <w:rsid w:val="00DC0EDB"/>
    <w:rsid w:val="00DC4554"/>
    <w:rsid w:val="00DC62F6"/>
    <w:rsid w:val="00DC6A71"/>
    <w:rsid w:val="00DD6CC3"/>
    <w:rsid w:val="00DE5B46"/>
    <w:rsid w:val="00E0357D"/>
    <w:rsid w:val="00E03C90"/>
    <w:rsid w:val="00E23879"/>
    <w:rsid w:val="00E24EC2"/>
    <w:rsid w:val="00E43E32"/>
    <w:rsid w:val="00E51C0F"/>
    <w:rsid w:val="00E8201C"/>
    <w:rsid w:val="00E93F61"/>
    <w:rsid w:val="00EB1EF4"/>
    <w:rsid w:val="00ED00D1"/>
    <w:rsid w:val="00ED323E"/>
    <w:rsid w:val="00ED7E82"/>
    <w:rsid w:val="00EF3280"/>
    <w:rsid w:val="00F0025B"/>
    <w:rsid w:val="00F02E53"/>
    <w:rsid w:val="00F240BB"/>
    <w:rsid w:val="00F42CE8"/>
    <w:rsid w:val="00F46724"/>
    <w:rsid w:val="00F47F58"/>
    <w:rsid w:val="00F567A0"/>
    <w:rsid w:val="00F57FED"/>
    <w:rsid w:val="00F70415"/>
    <w:rsid w:val="00F71C72"/>
    <w:rsid w:val="00F83622"/>
    <w:rsid w:val="00F94885"/>
    <w:rsid w:val="00FE6E11"/>
    <w:rsid w:val="00FF06C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C428607"/>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semiHidden/>
    <w:unhideWhenUsed/>
    <w:qFormat/>
    <w:rsid w:val="004D294C"/>
    <w:pPr>
      <w:keepNext/>
      <w:keepLines/>
      <w:spacing w:before="40"/>
      <w:jc w:val="both"/>
      <w:outlineLvl w:val="1"/>
    </w:pPr>
    <w:rPr>
      <w:rFonts w:asciiTheme="majorHAnsi" w:eastAsiaTheme="majorEastAsia" w:hAnsiTheme="majorHAnsi" w:cstheme="majorBidi"/>
      <w:color w:val="365F91" w:themeColor="accent1" w:themeShade="BF"/>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zamaknjenadolobaprvinivo1">
    <w:name w:val="zamaknjenadolobaprvinivo1"/>
    <w:basedOn w:val="Navaden"/>
    <w:rsid w:val="008302A0"/>
    <w:pPr>
      <w:spacing w:line="240" w:lineRule="auto"/>
      <w:jc w:val="both"/>
    </w:pPr>
    <w:rPr>
      <w:rFonts w:cs="Arial"/>
      <w:sz w:val="22"/>
      <w:szCs w:val="22"/>
      <w:lang w:val="sl-SI" w:eastAsia="sl-SI"/>
    </w:rPr>
  </w:style>
  <w:style w:type="paragraph" w:styleId="Odstavekseznama">
    <w:name w:val="List Paragraph"/>
    <w:basedOn w:val="Navaden"/>
    <w:link w:val="OdstavekseznamaZnak"/>
    <w:uiPriority w:val="1"/>
    <w:qFormat/>
    <w:rsid w:val="008302A0"/>
    <w:pPr>
      <w:ind w:left="720"/>
      <w:contextualSpacing/>
    </w:pPr>
  </w:style>
  <w:style w:type="paragraph" w:styleId="Revizija">
    <w:name w:val="Revision"/>
    <w:hidden/>
    <w:uiPriority w:val="99"/>
    <w:semiHidden/>
    <w:rsid w:val="00C72FC2"/>
    <w:rPr>
      <w:rFonts w:ascii="Arial" w:hAnsi="Arial"/>
      <w:szCs w:val="24"/>
      <w:lang w:val="en-US" w:eastAsia="en-US"/>
    </w:rPr>
  </w:style>
  <w:style w:type="character" w:customStyle="1" w:styleId="Naslov2Znak">
    <w:name w:val="Naslov 2 Znak"/>
    <w:basedOn w:val="Privzetapisavaodstavka"/>
    <w:link w:val="Naslov2"/>
    <w:uiPriority w:val="9"/>
    <w:semiHidden/>
    <w:rsid w:val="004D294C"/>
    <w:rPr>
      <w:rFonts w:asciiTheme="majorHAnsi" w:eastAsiaTheme="majorEastAsia" w:hAnsiTheme="majorHAnsi" w:cstheme="majorBidi"/>
      <w:color w:val="365F91" w:themeColor="accent1" w:themeShade="BF"/>
      <w:sz w:val="26"/>
      <w:szCs w:val="26"/>
      <w:lang w:eastAsia="en-US"/>
    </w:rPr>
  </w:style>
  <w:style w:type="table" w:styleId="Tabelamrea">
    <w:name w:val="Table Grid"/>
    <w:basedOn w:val="Navadnatabela"/>
    <w:uiPriority w:val="39"/>
    <w:rsid w:val="004D294C"/>
    <w:pPr>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5A086E"/>
    <w:rPr>
      <w:color w:val="605E5C"/>
      <w:shd w:val="clear" w:color="auto" w:fill="E1DFDD"/>
    </w:rPr>
  </w:style>
  <w:style w:type="character" w:customStyle="1" w:styleId="OdstavekseznamaZnak">
    <w:name w:val="Odstavek seznama Znak"/>
    <w:basedOn w:val="Privzetapisavaodstavka"/>
    <w:link w:val="Odstavekseznama"/>
    <w:uiPriority w:val="34"/>
    <w:locked/>
    <w:rsid w:val="0019178A"/>
    <w:rPr>
      <w:rFonts w:ascii="Arial" w:hAnsi="Arial"/>
      <w:szCs w:val="24"/>
      <w:lang w:val="en-US" w:eastAsia="en-US"/>
    </w:rPr>
  </w:style>
  <w:style w:type="paragraph" w:customStyle="1" w:styleId="Naslovpredpisa">
    <w:name w:val="Naslov_predpisa"/>
    <w:basedOn w:val="Navaden"/>
    <w:link w:val="NaslovpredpisaZnak"/>
    <w:qFormat/>
    <w:rsid w:val="009E4C9F"/>
    <w:pPr>
      <w:suppressAutoHyphens/>
      <w:overflowPunct w:val="0"/>
      <w:autoSpaceDE w:val="0"/>
      <w:autoSpaceDN w:val="0"/>
      <w:adjustRightInd w:val="0"/>
      <w:spacing w:line="240" w:lineRule="auto"/>
      <w:jc w:val="center"/>
      <w:textAlignment w:val="baseline"/>
    </w:pPr>
    <w:rPr>
      <w:b/>
      <w:sz w:val="22"/>
      <w:szCs w:val="22"/>
      <w:lang w:val="x-none" w:eastAsia="x-none"/>
    </w:rPr>
  </w:style>
  <w:style w:type="character" w:customStyle="1" w:styleId="NaslovpredpisaZnak">
    <w:name w:val="Naslov_predpisa Znak"/>
    <w:link w:val="Naslovpredpisa"/>
    <w:rsid w:val="009E4C9F"/>
    <w:rPr>
      <w:rFonts w:ascii="Arial" w:hAnsi="Arial"/>
      <w:b/>
      <w:sz w:val="22"/>
      <w:szCs w:val="22"/>
      <w:lang w:val="x-none" w:eastAsia="x-none"/>
    </w:rPr>
  </w:style>
  <w:style w:type="paragraph" w:customStyle="1" w:styleId="TableParagraph">
    <w:name w:val="Table Paragraph"/>
    <w:basedOn w:val="Navaden"/>
    <w:uiPriority w:val="1"/>
    <w:qFormat/>
    <w:rsid w:val="009E4C9F"/>
    <w:pPr>
      <w:widowControl w:val="0"/>
      <w:autoSpaceDE w:val="0"/>
      <w:autoSpaceDN w:val="0"/>
      <w:spacing w:line="240" w:lineRule="auto"/>
    </w:pPr>
    <w:rPr>
      <w:rFonts w:eastAsia="Arial" w:cs="Arial"/>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6737">
      <w:bodyDiv w:val="1"/>
      <w:marLeft w:val="0"/>
      <w:marRight w:val="0"/>
      <w:marTop w:val="0"/>
      <w:marBottom w:val="0"/>
      <w:divBdr>
        <w:top w:val="none" w:sz="0" w:space="0" w:color="auto"/>
        <w:left w:val="none" w:sz="0" w:space="0" w:color="auto"/>
        <w:bottom w:val="none" w:sz="0" w:space="0" w:color="auto"/>
        <w:right w:val="none" w:sz="0" w:space="0" w:color="auto"/>
      </w:divBdr>
    </w:div>
    <w:div w:id="13293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odaja.ulinfotok.si/glasilo-uradni-list-rs/vsebina/2022-01-1369/pravilnik-o-spremembi-in-dopolnitvah-pravilnika-o-dostavi-podatkov-za-odmero-dohodn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ta.edavki.durs.si/EdavkiPortal/OpenPortal/CommonPages/Opdynp/PageA.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87F2-FB14-431E-AD5A-08C26D82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TotalTime>
  <Pages>2</Pages>
  <Words>807</Words>
  <Characters>4601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Dušanka Uhan</dc:creator>
  <cp:lastModifiedBy>Tjaša  Bajc</cp:lastModifiedBy>
  <cp:revision>2</cp:revision>
  <cp:lastPrinted>2023-09-27T05:35:00Z</cp:lastPrinted>
  <dcterms:created xsi:type="dcterms:W3CDTF">2024-01-16T12:20:00Z</dcterms:created>
  <dcterms:modified xsi:type="dcterms:W3CDTF">2024-01-16T12:20:00Z</dcterms:modified>
</cp:coreProperties>
</file>